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33F8" w14:textId="77777777" w:rsidR="00552A12" w:rsidRPr="000B5F1E" w:rsidRDefault="00552A12" w:rsidP="00C81F2D">
      <w:pPr>
        <w:ind w:firstLine="0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>PROJETO BÁSICO/TERMO DE REFERÊNCIA</w:t>
      </w:r>
    </w:p>
    <w:p w14:paraId="2C7F04D7" w14:textId="77777777" w:rsidR="009962B5" w:rsidRPr="000B5F1E" w:rsidRDefault="009962B5" w:rsidP="00D538E1">
      <w:pPr>
        <w:ind w:firstLine="0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49D337AB" w14:textId="77777777" w:rsidR="000B5F1E" w:rsidRDefault="00552A12" w:rsidP="00D538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 xml:space="preserve">OBJETO </w:t>
      </w:r>
    </w:p>
    <w:p w14:paraId="3DA48095" w14:textId="10332995" w:rsidR="00552A12" w:rsidRPr="000B5F1E" w:rsidRDefault="002E70BA" w:rsidP="00D538E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hAnsi="Tahoma" w:cs="Tahoma"/>
          <w:sz w:val="20"/>
          <w:szCs w:val="20"/>
        </w:rPr>
        <w:t>Constitui objeto do presente, a l</w:t>
      </w:r>
      <w:r w:rsidR="00AD4BD7" w:rsidRPr="000B5F1E">
        <w:rPr>
          <w:rFonts w:ascii="Tahoma" w:hAnsi="Tahoma" w:cs="Tahoma"/>
          <w:sz w:val="20"/>
          <w:szCs w:val="20"/>
        </w:rPr>
        <w:t>icença de uso do software PLEO - Planilha Eletrônica de Orçamentos, com Banco de Dados de Edificações e Saneamento (</w:t>
      </w:r>
      <w:proofErr w:type="spellStart"/>
      <w:r w:rsidR="00AD4BD7" w:rsidRPr="000B5F1E">
        <w:rPr>
          <w:rFonts w:ascii="Tahoma" w:hAnsi="Tahoma" w:cs="Tahoma"/>
          <w:sz w:val="20"/>
          <w:szCs w:val="20"/>
        </w:rPr>
        <w:t>Franarin</w:t>
      </w:r>
      <w:proofErr w:type="spellEnd"/>
      <w:r w:rsidR="00AD4BD7" w:rsidRPr="000B5F1E">
        <w:rPr>
          <w:rFonts w:ascii="Tahoma" w:hAnsi="Tahoma" w:cs="Tahoma"/>
          <w:sz w:val="20"/>
          <w:szCs w:val="20"/>
        </w:rPr>
        <w:t xml:space="preserve"> e </w:t>
      </w:r>
      <w:proofErr w:type="spellStart"/>
      <w:r w:rsidR="00AD4BD7" w:rsidRPr="000B5F1E">
        <w:rPr>
          <w:rFonts w:ascii="Tahoma" w:hAnsi="Tahoma" w:cs="Tahoma"/>
          <w:sz w:val="20"/>
          <w:szCs w:val="20"/>
        </w:rPr>
        <w:t>Sinapi</w:t>
      </w:r>
      <w:proofErr w:type="spellEnd"/>
      <w:r w:rsidR="00AD4BD7" w:rsidRPr="000B5F1E">
        <w:rPr>
          <w:rFonts w:ascii="Tahoma" w:hAnsi="Tahoma" w:cs="Tahoma"/>
          <w:sz w:val="20"/>
          <w:szCs w:val="20"/>
        </w:rPr>
        <w:t>). Assinatura anual, para fornecimento de arquivos de atualização do banco de dados do referido sistema, com os preços dos insumos da construção civil na região sul</w:t>
      </w:r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, </w:t>
      </w:r>
      <w:proofErr w:type="spellStart"/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conforme</w:t>
      </w:r>
      <w:proofErr w:type="spellEnd"/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especificações</w:t>
      </w:r>
      <w:proofErr w:type="spellEnd"/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abaixo</w:t>
      </w:r>
      <w:proofErr w:type="spellEnd"/>
      <w:r w:rsidR="00552A12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:</w:t>
      </w:r>
    </w:p>
    <w:p w14:paraId="358F8790" w14:textId="77777777" w:rsidR="00AD4BD7" w:rsidRPr="000B5F1E" w:rsidRDefault="00AD4BD7" w:rsidP="00D538E1">
      <w:pPr>
        <w:spacing w:line="264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851"/>
        <w:gridCol w:w="4536"/>
        <w:gridCol w:w="2126"/>
      </w:tblGrid>
      <w:tr w:rsidR="00AD4BD7" w:rsidRPr="00D538E1" w14:paraId="5A0F20F8" w14:textId="77777777" w:rsidTr="00D538E1">
        <w:trPr>
          <w:trHeight w:val="510"/>
        </w:trPr>
        <w:tc>
          <w:tcPr>
            <w:tcW w:w="709" w:type="dxa"/>
            <w:noWrap/>
            <w:vAlign w:val="center"/>
          </w:tcPr>
          <w:p w14:paraId="797C2570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850" w:type="dxa"/>
            <w:vAlign w:val="center"/>
          </w:tcPr>
          <w:p w14:paraId="2AB536AB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851" w:type="dxa"/>
            <w:noWrap/>
            <w:vAlign w:val="center"/>
          </w:tcPr>
          <w:p w14:paraId="04FF1711" w14:textId="42B85E9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4536" w:type="dxa"/>
            <w:noWrap/>
            <w:vAlign w:val="center"/>
          </w:tcPr>
          <w:p w14:paraId="49248B97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26" w:type="dxa"/>
            <w:noWrap/>
            <w:vAlign w:val="center"/>
          </w:tcPr>
          <w:p w14:paraId="1A0C0456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VALOR ESTIMADO TOTAL</w:t>
            </w:r>
          </w:p>
        </w:tc>
      </w:tr>
      <w:tr w:rsidR="00AD4BD7" w:rsidRPr="00D538E1" w14:paraId="2CAB8217" w14:textId="77777777" w:rsidTr="00D538E1">
        <w:trPr>
          <w:trHeight w:val="567"/>
        </w:trPr>
        <w:tc>
          <w:tcPr>
            <w:tcW w:w="709" w:type="dxa"/>
            <w:vAlign w:val="center"/>
          </w:tcPr>
          <w:p w14:paraId="1170C01C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2D86A8DF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1" w:type="dxa"/>
            <w:vAlign w:val="center"/>
          </w:tcPr>
          <w:p w14:paraId="22093D6B" w14:textId="77777777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536" w:type="dxa"/>
            <w:vAlign w:val="center"/>
          </w:tcPr>
          <w:p w14:paraId="5785F382" w14:textId="77777777" w:rsidR="00AD4BD7" w:rsidRPr="00D538E1" w:rsidRDefault="00AD4BD7" w:rsidP="00C81F2D">
            <w:pPr>
              <w:ind w:firstLine="0"/>
              <w:jc w:val="left"/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 xml:space="preserve">Licença </w:t>
            </w:r>
            <w:proofErr w:type="spellStart"/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>sofwatre</w:t>
            </w:r>
            <w:proofErr w:type="spellEnd"/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 xml:space="preserve"> PLEO, Versão 4.0 para Windows, com Banco de Dados de Edificações e Saneamento (FRANARIN e SINAPI)</w:t>
            </w:r>
          </w:p>
        </w:tc>
        <w:tc>
          <w:tcPr>
            <w:tcW w:w="2126" w:type="dxa"/>
            <w:noWrap/>
            <w:vAlign w:val="center"/>
          </w:tcPr>
          <w:p w14:paraId="48DBA090" w14:textId="79EA1026" w:rsidR="00AD4BD7" w:rsidRPr="00D538E1" w:rsidRDefault="00AD4BD7" w:rsidP="00C81F2D">
            <w:pPr>
              <w:ind w:firstLine="0"/>
              <w:jc w:val="center"/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</w:pPr>
            <w:r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>R$ 1.</w:t>
            </w:r>
            <w:r w:rsidR="000B5F1E" w:rsidRPr="00D538E1">
              <w:rPr>
                <w:rFonts w:ascii="Tahoma" w:eastAsia="SimSun" w:hAnsi="Tahoma" w:cs="Tahoma"/>
                <w:color w:val="000000"/>
                <w:sz w:val="18"/>
                <w:szCs w:val="18"/>
                <w:lang w:eastAsia="pt-BR"/>
              </w:rPr>
              <w:t>980,00</w:t>
            </w:r>
          </w:p>
        </w:tc>
      </w:tr>
    </w:tbl>
    <w:p w14:paraId="03CC0275" w14:textId="477F3D26" w:rsidR="008862FE" w:rsidRPr="000B5F1E" w:rsidRDefault="008862FE" w:rsidP="00D538E1">
      <w:pPr>
        <w:ind w:firstLine="0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071AA02F" w14:textId="77777777" w:rsidR="002110D0" w:rsidRPr="000B5F1E" w:rsidRDefault="002110D0" w:rsidP="00D538E1">
      <w:pPr>
        <w:ind w:firstLine="0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27035C84" w14:textId="77777777" w:rsidR="000B5F1E" w:rsidRDefault="008862FE" w:rsidP="00D538E1">
      <w:pPr>
        <w:pStyle w:val="PargrafodaLista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>FUNDAMENTO LEGAL DA CONTRATAÇÃO</w:t>
      </w:r>
    </w:p>
    <w:p w14:paraId="700C78C1" w14:textId="54ADB4F1" w:rsidR="00F27CD8" w:rsidRPr="00D538E1" w:rsidRDefault="008862FE" w:rsidP="00D538E1">
      <w:pPr>
        <w:pStyle w:val="PargrafodaLista"/>
        <w:numPr>
          <w:ilvl w:val="1"/>
          <w:numId w:val="1"/>
        </w:numPr>
        <w:spacing w:after="0"/>
        <w:jc w:val="both"/>
        <w:rPr>
          <w:rFonts w:ascii="Tahoma" w:eastAsia="Times New Roman" w:hAnsi="Tahoma" w:cs="Tahoma"/>
          <w:b/>
          <w:bCs/>
          <w:i/>
          <w:color w:val="000000" w:themeColor="text1"/>
          <w:sz w:val="20"/>
          <w:szCs w:val="20"/>
          <w:lang w:eastAsia="pt-BR"/>
        </w:rPr>
      </w:pPr>
      <w:r w:rsidRPr="000B5F1E">
        <w:rPr>
          <w:rFonts w:ascii="Tahoma" w:hAnsi="Tahoma" w:cs="Tahoma"/>
          <w:color w:val="000000" w:themeColor="text1"/>
          <w:sz w:val="20"/>
          <w:szCs w:val="20"/>
        </w:rPr>
        <w:t xml:space="preserve">A contratação em tela encontra fundamento legal no art.25, I, isso porque o art. 25 da lei de regência dispõe: </w:t>
      </w:r>
    </w:p>
    <w:p w14:paraId="557E80A1" w14:textId="77777777" w:rsidR="00CF5C05" w:rsidRPr="00D538E1" w:rsidRDefault="00CF5C05" w:rsidP="00D538E1">
      <w:pPr>
        <w:pStyle w:val="PargrafodaLista"/>
        <w:spacing w:after="0"/>
        <w:ind w:left="0" w:firstLine="426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14:paraId="664E254F" w14:textId="6844EAB8" w:rsidR="00F27CD8" w:rsidRPr="00D538E1" w:rsidRDefault="00B96F24" w:rsidP="00D538E1">
      <w:pPr>
        <w:pStyle w:val="PargrafodaLista"/>
        <w:spacing w:after="0"/>
        <w:ind w:left="2835"/>
        <w:jc w:val="both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D538E1">
        <w:rPr>
          <w:rFonts w:ascii="Tahoma" w:hAnsi="Tahoma" w:cs="Tahoma"/>
          <w:i/>
          <w:color w:val="000000" w:themeColor="text1"/>
          <w:sz w:val="18"/>
          <w:szCs w:val="18"/>
        </w:rPr>
        <w:t xml:space="preserve">Art. 25 </w:t>
      </w:r>
      <w:r w:rsidR="008862FE" w:rsidRPr="00D538E1">
        <w:rPr>
          <w:rFonts w:ascii="Tahoma" w:hAnsi="Tahoma" w:cs="Tahoma"/>
          <w:i/>
          <w:color w:val="000000" w:themeColor="text1"/>
          <w:sz w:val="18"/>
          <w:szCs w:val="18"/>
        </w:rPr>
        <w:t xml:space="preserve">É inexigível a licitação quando houver inviabilidade de competição, em especial: </w:t>
      </w:r>
    </w:p>
    <w:p w14:paraId="328AEC55" w14:textId="77777777" w:rsidR="000B5F1E" w:rsidRPr="00D538E1" w:rsidRDefault="00B96F24" w:rsidP="00D538E1">
      <w:pPr>
        <w:pStyle w:val="PargrafodaLista"/>
        <w:spacing w:after="0"/>
        <w:ind w:left="2835"/>
        <w:jc w:val="both"/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</w:pPr>
      <w:r w:rsidRPr="00D538E1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I - </w:t>
      </w:r>
      <w:proofErr w:type="gramStart"/>
      <w:r w:rsidRPr="00D538E1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para</w:t>
      </w:r>
      <w:proofErr w:type="gramEnd"/>
      <w:r w:rsidRPr="00D538E1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 xml:space="preserve"> aquisição de materiais, equipamentos,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equivalentes;</w:t>
      </w:r>
    </w:p>
    <w:p w14:paraId="2D153DBC" w14:textId="77777777" w:rsidR="000B5F1E" w:rsidRDefault="000B5F1E" w:rsidP="00D538E1">
      <w:pPr>
        <w:ind w:left="709" w:hanging="349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B5F1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2.2</w:t>
      </w:r>
      <w:r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52460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Segue anexo ao presente, carta de exclusividade emitida pelo Sindicato das Indústrias da Construção Civil no Estado do Rio Grande do Sul – SINDUSCON, na qual refere que a empresa </w:t>
      </w:r>
      <w:proofErr w:type="spellStart"/>
      <w:r w:rsidR="00452460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Franarin</w:t>
      </w:r>
      <w:proofErr w:type="spellEnd"/>
      <w:r w:rsidR="00452460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&amp;Cia. LTDA detém a exclusividade para comercializar os softwares PLEO e afins no Estado do Rio Grande do Sul.</w:t>
      </w:r>
    </w:p>
    <w:p w14:paraId="27B58742" w14:textId="3264E6C5" w:rsidR="00CF5C05" w:rsidRPr="000B5F1E" w:rsidRDefault="000B5F1E" w:rsidP="00D538E1">
      <w:pPr>
        <w:ind w:left="709" w:hanging="349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B5F1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2.3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52460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Quanto ao preço, também </w:t>
      </w:r>
      <w:r w:rsidR="00CF5C05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segue acostado contrato</w:t>
      </w:r>
      <w:r w:rsidR="003B0CDE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da empresa</w:t>
      </w:r>
      <w:r w:rsidR="00CF5C05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firmado com </w:t>
      </w:r>
      <w:r w:rsidR="00194CB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município de Capão da Canoa,</w:t>
      </w:r>
      <w:r w:rsidR="00CF5C05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em que consta preço idêntico ao orçamento fornecido p</w:t>
      </w:r>
      <w:bookmarkStart w:id="0" w:name="_GoBack"/>
      <w:bookmarkEnd w:id="0"/>
      <w:r w:rsidR="00CF5C05" w:rsidRPr="000B5F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ara a municipalidade, o que esclarece a compatibilidade de preços praticados no mercado.</w:t>
      </w:r>
    </w:p>
    <w:p w14:paraId="4BA1DC5E" w14:textId="77777777" w:rsidR="00CA0E3D" w:rsidRPr="000B5F1E" w:rsidRDefault="00CA0E3D" w:rsidP="00D538E1">
      <w:pPr>
        <w:pStyle w:val="PargrafodaLista"/>
        <w:spacing w:after="0"/>
        <w:ind w:left="0" w:firstLine="36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AB798A9" w14:textId="77777777" w:rsidR="00D538E1" w:rsidRDefault="00552A12" w:rsidP="00D538E1">
      <w:pPr>
        <w:pStyle w:val="PargrafodaLista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 xml:space="preserve">JUSTIFICATIVA DA CONTRATAÇÃO </w:t>
      </w:r>
    </w:p>
    <w:p w14:paraId="255FBF54" w14:textId="77777777" w:rsidR="00D538E1" w:rsidRPr="00D538E1" w:rsidRDefault="002E70BA" w:rsidP="00D538E1">
      <w:pPr>
        <w:pStyle w:val="PargrafodaLista"/>
        <w:numPr>
          <w:ilvl w:val="1"/>
          <w:numId w:val="1"/>
        </w:numPr>
        <w:spacing w:after="0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D538E1">
        <w:rPr>
          <w:rFonts w:ascii="Tahoma" w:hAnsi="Tahoma" w:cs="Tahoma"/>
          <w:sz w:val="20"/>
          <w:szCs w:val="20"/>
        </w:rPr>
        <w:t xml:space="preserve">O Setor de Engenharia da Prefeitura Municipal de Imigrante necessita realizar a elaboração de orçamentos e aferições tanto de materiais como de mão de obra, e o software PLEO, comercializado na região sul com exclusividade pela empresa </w:t>
      </w:r>
      <w:proofErr w:type="spellStart"/>
      <w:r w:rsidRPr="00D538E1">
        <w:rPr>
          <w:rFonts w:ascii="Tahoma" w:hAnsi="Tahoma" w:cs="Tahoma"/>
          <w:b/>
          <w:bCs/>
          <w:sz w:val="20"/>
          <w:szCs w:val="20"/>
        </w:rPr>
        <w:t>Franarin</w:t>
      </w:r>
      <w:proofErr w:type="spellEnd"/>
      <w:r w:rsidRPr="00D538E1">
        <w:rPr>
          <w:rFonts w:ascii="Tahoma" w:hAnsi="Tahoma" w:cs="Tahoma"/>
          <w:b/>
          <w:bCs/>
          <w:sz w:val="20"/>
          <w:szCs w:val="20"/>
        </w:rPr>
        <w:t xml:space="preserve"> e Cia Ltda – ME (CNPJ 93.277.291/0001-40)</w:t>
      </w:r>
      <w:r w:rsidRPr="00D538E1">
        <w:rPr>
          <w:rFonts w:ascii="Tahoma" w:hAnsi="Tahoma" w:cs="Tahoma"/>
          <w:sz w:val="20"/>
          <w:szCs w:val="20"/>
        </w:rPr>
        <w:t xml:space="preserve">, se destina à elaboração de planilhas de orçamentos, cronogramas físico-financeiros, curvas ABC e gerenciamento básico de obras. Para fins de acuracidade nos valores este software necessita da atualização mensal do seu banco de dados, atualização esta que conta com mais de 2.100 insumos e mais de 2.000 composições unitárias com valores pesquisados no mercado, sendo corrigidos mensalmente pelos valores em execução nos estados do Rio Grande do Sul, Santa Catarina e Paraná. </w:t>
      </w:r>
    </w:p>
    <w:p w14:paraId="6112B9DB" w14:textId="00039B0C" w:rsidR="00552A12" w:rsidRPr="00D538E1" w:rsidRDefault="002E70BA" w:rsidP="00D538E1">
      <w:pPr>
        <w:pStyle w:val="PargrafodaLista"/>
        <w:numPr>
          <w:ilvl w:val="1"/>
          <w:numId w:val="1"/>
        </w:numPr>
        <w:spacing w:after="0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D538E1">
        <w:rPr>
          <w:rFonts w:ascii="Tahoma" w:hAnsi="Tahoma" w:cs="Tahoma"/>
          <w:sz w:val="20"/>
          <w:szCs w:val="20"/>
        </w:rPr>
        <w:t xml:space="preserve">O referido setor necessita do software, com atualização mensal dos valores dos insumos, para elaboração de planilhas orçamentárias de forma a balizar e justificar </w:t>
      </w:r>
      <w:r w:rsidR="00CA0E3D" w:rsidRPr="00D538E1">
        <w:rPr>
          <w:rFonts w:ascii="Tahoma" w:hAnsi="Tahoma" w:cs="Tahoma"/>
          <w:sz w:val="20"/>
          <w:szCs w:val="20"/>
        </w:rPr>
        <w:t>os preços</w:t>
      </w:r>
      <w:r w:rsidRPr="00D538E1">
        <w:rPr>
          <w:rFonts w:ascii="Tahoma" w:hAnsi="Tahoma" w:cs="Tahoma"/>
          <w:sz w:val="20"/>
          <w:szCs w:val="20"/>
        </w:rPr>
        <w:t xml:space="preserve"> dos orçamentos por ela elaborados, que entre outras coisas define o tipo/modalidade de licitação a adotar, sendo ainda motivo de acompanhamento e cobrança pelos órgãos de controle do Estado. </w:t>
      </w:r>
    </w:p>
    <w:p w14:paraId="01050ECC" w14:textId="77777777" w:rsidR="003B0CDE" w:rsidRPr="000B5F1E" w:rsidRDefault="003B0CDE" w:rsidP="00D538E1">
      <w:pPr>
        <w:ind w:firstLine="360"/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val="en-US" w:eastAsia="pt-BR"/>
        </w:rPr>
      </w:pPr>
    </w:p>
    <w:p w14:paraId="644854C7" w14:textId="77777777" w:rsidR="00D538E1" w:rsidRDefault="00552A12" w:rsidP="00D538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 xml:space="preserve">LOCAL DA ENTREGA DO BEM OU DE EXECUÇÃO DO SERVIÇO </w:t>
      </w:r>
    </w:p>
    <w:p w14:paraId="0FA137DD" w14:textId="0408E510" w:rsidR="00CA0E3D" w:rsidRPr="00D538E1" w:rsidRDefault="002E1A7F" w:rsidP="00D538E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A entrega deverá ser realizada por meio de disponibilização para download, através de e-mail ou envio das licenças físicas ao setor de Engenharia na Prefeitura Municipal de Imigrante, na Rua Castelo Branco, 219, centro, Imigrante/RS, 95885-000.</w:t>
      </w:r>
    </w:p>
    <w:p w14:paraId="1E48CC64" w14:textId="77777777" w:rsidR="00CA0E3D" w:rsidRPr="000B5F1E" w:rsidRDefault="00CA0E3D" w:rsidP="00D538E1">
      <w:pPr>
        <w:ind w:firstLine="360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10F9BFB2" w14:textId="77777777" w:rsidR="00D538E1" w:rsidRDefault="00552A12" w:rsidP="00D538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 xml:space="preserve">ACOMPANHAMENTO DA EXECUÇÃO </w:t>
      </w:r>
    </w:p>
    <w:p w14:paraId="3CD2CE82" w14:textId="1061BF6F" w:rsidR="001573BC" w:rsidRPr="00D538E1" w:rsidRDefault="00552A12" w:rsidP="00D538E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A fiscalização do contrato será realizada pel</w:t>
      </w:r>
      <w:r w:rsidR="00204082" w:rsidRPr="00D538E1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o</w:t>
      </w:r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servidor</w:t>
      </w:r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="00204082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Claimar</w:t>
      </w:r>
      <w:proofErr w:type="spellEnd"/>
      <w:r w:rsidR="00204082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José Duarte, </w:t>
      </w:r>
      <w:proofErr w:type="spellStart"/>
      <w:r w:rsidR="00204082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engenheiro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,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vinculad</w:t>
      </w:r>
      <w:r w:rsidR="00204082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o</w:t>
      </w:r>
      <w:proofErr w:type="spellEnd"/>
      <w:r w:rsidR="00204082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a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Secretaria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Municipal da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Administração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,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Planejamento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e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Finanças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.</w:t>
      </w:r>
    </w:p>
    <w:p w14:paraId="43C966FE" w14:textId="77777777" w:rsidR="00CA0E3D" w:rsidRPr="000B5F1E" w:rsidRDefault="00CA0E3D" w:rsidP="00D538E1">
      <w:pPr>
        <w:ind w:firstLine="708"/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</w:pPr>
    </w:p>
    <w:p w14:paraId="1BCAD122" w14:textId="41CAB889" w:rsidR="004C04BE" w:rsidRPr="000B5F1E" w:rsidRDefault="004C04BE" w:rsidP="00D538E1">
      <w:pPr>
        <w:pStyle w:val="PargrafodaLista"/>
        <w:numPr>
          <w:ilvl w:val="0"/>
          <w:numId w:val="1"/>
        </w:numPr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-US"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-US" w:eastAsia="pt-BR"/>
        </w:rPr>
        <w:t>DOTAÇÕES ORÇAMENTÁRIAS</w:t>
      </w:r>
    </w:p>
    <w:p w14:paraId="5FAFA294" w14:textId="2AFC2F5F" w:rsidR="004C04BE" w:rsidRPr="00194CBB" w:rsidRDefault="004C04BE" w:rsidP="00D538E1">
      <w:pPr>
        <w:pStyle w:val="PargrafodaLista"/>
        <w:ind w:left="360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</w:pPr>
      <w:proofErr w:type="spellStart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Órgão</w:t>
      </w:r>
      <w:proofErr w:type="spellEnd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: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  <w:t xml:space="preserve">3 - </w:t>
      </w:r>
      <w:bookmarkStart w:id="1" w:name="_Hlk72142470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SEC.MUN.ADM., PLANEJ. E FINAÇAS </w:t>
      </w:r>
      <w:bookmarkEnd w:id="1"/>
    </w:p>
    <w:p w14:paraId="6FFCEA72" w14:textId="53543026" w:rsidR="004C04BE" w:rsidRPr="00194CBB" w:rsidRDefault="004C04BE" w:rsidP="00D538E1">
      <w:pPr>
        <w:pStyle w:val="PargrafodaLista"/>
        <w:ind w:left="360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</w:pPr>
      <w:proofErr w:type="spellStart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Unidade</w:t>
      </w:r>
      <w:proofErr w:type="spellEnd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: 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  <w:t>1 - SEC.MUN.ADM., PLANEJ. E FINAÇAS</w:t>
      </w:r>
    </w:p>
    <w:p w14:paraId="54BAF9B8" w14:textId="02F0A6E4" w:rsidR="004C04BE" w:rsidRPr="00194CBB" w:rsidRDefault="004C04BE" w:rsidP="00D538E1">
      <w:pPr>
        <w:pStyle w:val="PargrafodaLista"/>
        <w:ind w:left="360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</w:pPr>
      <w:proofErr w:type="spellStart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Projeto</w:t>
      </w:r>
      <w:proofErr w:type="spellEnd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 </w:t>
      </w:r>
      <w:proofErr w:type="spellStart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Atividade</w:t>
      </w:r>
      <w:proofErr w:type="spellEnd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: 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  <w:t>04.122.000</w:t>
      </w:r>
      <w:r w:rsidR="00CF5C05"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4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.200</w:t>
      </w:r>
      <w:r w:rsidR="00CF5C05"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6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 </w:t>
      </w:r>
      <w:r w:rsidR="00CF5C05"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pt-BR"/>
        </w:rPr>
        <w:t>Informatização dos serviços municipais</w:t>
      </w:r>
    </w:p>
    <w:p w14:paraId="240AEDAC" w14:textId="5FB60122" w:rsidR="004C04BE" w:rsidRPr="00194CBB" w:rsidRDefault="004C04BE" w:rsidP="00D538E1">
      <w:pPr>
        <w:pStyle w:val="PargrafodaLista"/>
        <w:ind w:left="360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</w:pPr>
      <w:proofErr w:type="spellStart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Despesa</w:t>
      </w:r>
      <w:proofErr w:type="spellEnd"/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: 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ab/>
      </w:r>
      <w:r w:rsidR="00CF5C05"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333904000000000</w:t>
      </w:r>
      <w:r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 xml:space="preserve"> </w:t>
      </w:r>
      <w:r w:rsidR="00CF5C05" w:rsidRPr="00194CBB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 w:eastAsia="pt-BR"/>
        </w:rPr>
        <w:t>SERVIÇOS DE TECNOLOGIA DA INFORMAÇÃO E COMUNICAÇÃO - PJ</w:t>
      </w:r>
    </w:p>
    <w:p w14:paraId="5A5DE2BA" w14:textId="77777777" w:rsidR="004C04BE" w:rsidRPr="000B5F1E" w:rsidRDefault="004C04BE" w:rsidP="00D538E1">
      <w:pPr>
        <w:ind w:firstLine="0"/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</w:pPr>
    </w:p>
    <w:p w14:paraId="3DC036D0" w14:textId="77777777" w:rsidR="00D538E1" w:rsidRDefault="00552A12" w:rsidP="00D538E1">
      <w:pPr>
        <w:numPr>
          <w:ilvl w:val="0"/>
          <w:numId w:val="1"/>
        </w:numPr>
        <w:spacing w:line="264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-US" w:eastAsia="pt-BR"/>
        </w:rPr>
        <w:t>VALOR ESTIMADO</w:t>
      </w:r>
    </w:p>
    <w:p w14:paraId="5E97063B" w14:textId="2BF6FFCD" w:rsidR="00116D3E" w:rsidRPr="00D538E1" w:rsidRDefault="00552A12" w:rsidP="00D538E1">
      <w:pPr>
        <w:numPr>
          <w:ilvl w:val="1"/>
          <w:numId w:val="1"/>
        </w:numPr>
        <w:spacing w:line="264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O valor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estimado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para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contratação</w:t>
      </w:r>
      <w:proofErr w:type="spellEnd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será</w:t>
      </w:r>
      <w:proofErr w:type="spellEnd"/>
      <w:r w:rsidR="00CF5C05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de R$ 1.</w:t>
      </w:r>
      <w:r w:rsidR="00194CBB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980,</w:t>
      </w:r>
      <w:r w:rsidR="00CF5C05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00 (mil </w:t>
      </w:r>
      <w:proofErr w:type="spellStart"/>
      <w:r w:rsidR="00194CBB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novecentos</w:t>
      </w:r>
      <w:proofErr w:type="spellEnd"/>
      <w:r w:rsidR="00194CBB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e </w:t>
      </w:r>
      <w:proofErr w:type="spellStart"/>
      <w:r w:rsidR="00194CBB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oitenta</w:t>
      </w:r>
      <w:proofErr w:type="spellEnd"/>
      <w:r w:rsidR="00194CBB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="00194CBB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reais</w:t>
      </w:r>
      <w:proofErr w:type="spellEnd"/>
      <w:r w:rsidR="00CF5C05" w:rsidRP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).</w:t>
      </w:r>
    </w:p>
    <w:p w14:paraId="1DC34645" w14:textId="77777777" w:rsidR="00CF5C05" w:rsidRPr="000B5F1E" w:rsidRDefault="00CF5C05" w:rsidP="00D538E1">
      <w:pPr>
        <w:spacing w:line="264" w:lineRule="auto"/>
        <w:ind w:firstLine="708"/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</w:pPr>
    </w:p>
    <w:p w14:paraId="6A00F74F" w14:textId="612D4313" w:rsidR="00552A12" w:rsidRPr="000B5F1E" w:rsidRDefault="00552A12" w:rsidP="00D538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 xml:space="preserve">FORMA DE PAGAMENTO </w:t>
      </w:r>
    </w:p>
    <w:p w14:paraId="0E25307C" w14:textId="77777777" w:rsidR="00B61200" w:rsidRPr="000B5F1E" w:rsidRDefault="00552A12" w:rsidP="00D538E1">
      <w:pPr>
        <w:pStyle w:val="PargrafodaLista"/>
        <w:numPr>
          <w:ilvl w:val="1"/>
          <w:numId w:val="9"/>
        </w:numPr>
        <w:spacing w:line="264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O</w:t>
      </w:r>
      <w:r w:rsidR="00CC3E21"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s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pagamento</w:t>
      </w:r>
      <w:r w:rsidR="00CC3E21"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s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ser</w:t>
      </w:r>
      <w:r w:rsidR="00CC3E21"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ão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efetuado</w:t>
      </w:r>
      <w:r w:rsidR="00CC3E21"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s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em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conta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corrente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em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nome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da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contratada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,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no prazo de até 10 (dez) dias úteis após a(s) entrega(s) da(s) nota(s) fiscal(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is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) correspondente(s) no setor de contabilidade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, </w:t>
      </w:r>
      <w:proofErr w:type="spellStart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acompanhad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a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do relatório de execução dos serviços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,</w:t>
      </w:r>
      <w:r w:rsidR="00791EC4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com a </w:t>
      </w:r>
      <w:proofErr w:type="spellStart"/>
      <w:r w:rsidR="00791EC4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assinatura</w:t>
      </w:r>
      <w:proofErr w:type="spellEnd"/>
      <w:r w:rsidR="00791EC4"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do fiscal,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e cumpridas as demais obrigações contratuais.</w:t>
      </w:r>
    </w:p>
    <w:p w14:paraId="493A1ED7" w14:textId="31CE83DE" w:rsidR="009962B5" w:rsidRPr="000B5F1E" w:rsidRDefault="009962B5" w:rsidP="00D538E1">
      <w:pPr>
        <w:ind w:firstLine="708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45880322" w14:textId="54CB3E7C" w:rsidR="00552A12" w:rsidRPr="000B5F1E" w:rsidRDefault="00552A12" w:rsidP="00D538E1">
      <w:pPr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0DED1795" w14:textId="74297A0E" w:rsidR="00552A12" w:rsidRPr="000B5F1E" w:rsidRDefault="00552A12" w:rsidP="00D538E1">
      <w:pPr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Imigrante,</w:t>
      </w:r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 </w:t>
      </w:r>
      <w:r w:rsid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 xml:space="preserve">11 de </w:t>
      </w:r>
      <w:proofErr w:type="spellStart"/>
      <w:r w:rsidR="00D538E1">
        <w:rPr>
          <w:rFonts w:ascii="Tahoma" w:eastAsia="Times New Roman" w:hAnsi="Tahoma" w:cs="Tahoma"/>
          <w:color w:val="000000" w:themeColor="text1"/>
          <w:sz w:val="20"/>
          <w:szCs w:val="20"/>
          <w:lang w:val="en-US" w:eastAsia="pt-BR"/>
        </w:rPr>
        <w:t>agosto</w:t>
      </w:r>
      <w:proofErr w:type="spellEnd"/>
      <w:r w:rsidRPr="000B5F1E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de 202</w:t>
      </w:r>
      <w:r w:rsidR="00D538E1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2</w:t>
      </w:r>
    </w:p>
    <w:p w14:paraId="5BAE55A4" w14:textId="22C75DB3" w:rsidR="00552A12" w:rsidRPr="000B5F1E" w:rsidRDefault="00552A12" w:rsidP="00D538E1">
      <w:pPr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55625F50" w14:textId="39EF5E40" w:rsidR="00CF0C2D" w:rsidRPr="000B5F1E" w:rsidRDefault="00CF0C2D" w:rsidP="00D538E1">
      <w:pPr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2EFF7D17" w14:textId="77777777" w:rsidR="00CF0C2D" w:rsidRPr="000B5F1E" w:rsidRDefault="00CF0C2D" w:rsidP="00D538E1">
      <w:pPr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49310165" w14:textId="26FAC01F" w:rsidR="00301865" w:rsidRPr="000B5F1E" w:rsidRDefault="00301865" w:rsidP="00D538E1">
      <w:pPr>
        <w:ind w:firstLine="0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14:paraId="4CDF86B1" w14:textId="77777777" w:rsidR="00CF0C2D" w:rsidRPr="000B5F1E" w:rsidRDefault="00CF0C2D" w:rsidP="00D538E1">
      <w:pPr>
        <w:pStyle w:val="Corpodetexto"/>
        <w:jc w:val="center"/>
        <w:rPr>
          <w:rFonts w:ascii="Tahoma" w:hAnsi="Tahoma" w:cs="Tahoma"/>
          <w:sz w:val="20"/>
        </w:rPr>
      </w:pPr>
      <w:r w:rsidRPr="000B5F1E">
        <w:rPr>
          <w:rFonts w:ascii="Tahoma" w:hAnsi="Tahoma" w:cs="Tahoma"/>
          <w:sz w:val="20"/>
        </w:rPr>
        <w:t>__________________________</w:t>
      </w:r>
    </w:p>
    <w:p w14:paraId="363F21C6" w14:textId="088C3ED3" w:rsidR="00CF0C2D" w:rsidRPr="000B5F1E" w:rsidRDefault="00D538E1" w:rsidP="00D538E1">
      <w:pPr>
        <w:pStyle w:val="Corpodetex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Ernani Schneider</w:t>
      </w:r>
    </w:p>
    <w:p w14:paraId="4A185C5B" w14:textId="36F3782E" w:rsidR="00552A12" w:rsidRPr="000B5F1E" w:rsidRDefault="00CF0C2D" w:rsidP="00D538E1">
      <w:pPr>
        <w:pStyle w:val="Corpodetexto"/>
        <w:jc w:val="center"/>
        <w:rPr>
          <w:rFonts w:ascii="Tahoma" w:eastAsia="Times New Roman" w:hAnsi="Tahoma" w:cs="Tahoma"/>
          <w:color w:val="000000" w:themeColor="text1"/>
          <w:sz w:val="20"/>
        </w:rPr>
      </w:pPr>
      <w:r w:rsidRPr="000B5F1E">
        <w:rPr>
          <w:rFonts w:ascii="Tahoma" w:hAnsi="Tahoma" w:cs="Tahoma"/>
          <w:sz w:val="20"/>
        </w:rPr>
        <w:t>Secretário Municipal de Administração, Planejamento e Finanças</w:t>
      </w:r>
    </w:p>
    <w:sectPr w:rsidR="00552A12" w:rsidRPr="000B5F1E" w:rsidSect="004071B4">
      <w:pgSz w:w="11906" w:h="16838"/>
      <w:pgMar w:top="3402" w:right="991" w:bottom="184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CD7"/>
    <w:multiLevelType w:val="hybridMultilevel"/>
    <w:tmpl w:val="C1C4F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476"/>
    <w:multiLevelType w:val="hybridMultilevel"/>
    <w:tmpl w:val="CFFEF7AC"/>
    <w:lvl w:ilvl="0" w:tplc="225EFA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B0487"/>
    <w:multiLevelType w:val="hybridMultilevel"/>
    <w:tmpl w:val="D618D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54BA"/>
    <w:multiLevelType w:val="hybridMultilevel"/>
    <w:tmpl w:val="493AC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1B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84091"/>
    <w:multiLevelType w:val="hybridMultilevel"/>
    <w:tmpl w:val="0D9C8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16CD6"/>
    <w:multiLevelType w:val="multilevel"/>
    <w:tmpl w:val="8278C8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094F8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8B7F6A"/>
    <w:multiLevelType w:val="hybridMultilevel"/>
    <w:tmpl w:val="7BC81C34"/>
    <w:lvl w:ilvl="0" w:tplc="C2B075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4879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F01E39"/>
    <w:multiLevelType w:val="hybridMultilevel"/>
    <w:tmpl w:val="10B07FA8"/>
    <w:lvl w:ilvl="0" w:tplc="E8849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0EC3"/>
    <w:multiLevelType w:val="multilevel"/>
    <w:tmpl w:val="C3A29C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900861"/>
    <w:multiLevelType w:val="multilevel"/>
    <w:tmpl w:val="357637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2"/>
    <w:rsid w:val="00073C94"/>
    <w:rsid w:val="000A495B"/>
    <w:rsid w:val="000B5F1E"/>
    <w:rsid w:val="00116D3E"/>
    <w:rsid w:val="001573BC"/>
    <w:rsid w:val="00167A1D"/>
    <w:rsid w:val="00176AE7"/>
    <w:rsid w:val="0019009B"/>
    <w:rsid w:val="00190BBD"/>
    <w:rsid w:val="00194CBB"/>
    <w:rsid w:val="001C5930"/>
    <w:rsid w:val="00204082"/>
    <w:rsid w:val="002110D0"/>
    <w:rsid w:val="0023761D"/>
    <w:rsid w:val="00266E4C"/>
    <w:rsid w:val="002741B6"/>
    <w:rsid w:val="002E1A7F"/>
    <w:rsid w:val="002E70BA"/>
    <w:rsid w:val="00301865"/>
    <w:rsid w:val="00301FA2"/>
    <w:rsid w:val="003B0CDE"/>
    <w:rsid w:val="003D6FB4"/>
    <w:rsid w:val="003F0207"/>
    <w:rsid w:val="003F12CF"/>
    <w:rsid w:val="004071B4"/>
    <w:rsid w:val="00452460"/>
    <w:rsid w:val="00467744"/>
    <w:rsid w:val="004C04BE"/>
    <w:rsid w:val="00501195"/>
    <w:rsid w:val="005442FC"/>
    <w:rsid w:val="00552A12"/>
    <w:rsid w:val="00554B56"/>
    <w:rsid w:val="00584A4A"/>
    <w:rsid w:val="005A7688"/>
    <w:rsid w:val="005C0C19"/>
    <w:rsid w:val="005C5142"/>
    <w:rsid w:val="005E1190"/>
    <w:rsid w:val="005F6235"/>
    <w:rsid w:val="006733C4"/>
    <w:rsid w:val="00677A56"/>
    <w:rsid w:val="006805D1"/>
    <w:rsid w:val="006E0BD2"/>
    <w:rsid w:val="00791EC4"/>
    <w:rsid w:val="007B6C9B"/>
    <w:rsid w:val="007D41CF"/>
    <w:rsid w:val="007D611F"/>
    <w:rsid w:val="008862FE"/>
    <w:rsid w:val="00894269"/>
    <w:rsid w:val="008E08D0"/>
    <w:rsid w:val="008E28EA"/>
    <w:rsid w:val="008E30CA"/>
    <w:rsid w:val="00942C19"/>
    <w:rsid w:val="00965D28"/>
    <w:rsid w:val="0097434E"/>
    <w:rsid w:val="009962B5"/>
    <w:rsid w:val="009C3751"/>
    <w:rsid w:val="00AD4BD7"/>
    <w:rsid w:val="00AF6BC6"/>
    <w:rsid w:val="00B44714"/>
    <w:rsid w:val="00B61200"/>
    <w:rsid w:val="00B80200"/>
    <w:rsid w:val="00B871DE"/>
    <w:rsid w:val="00B96F24"/>
    <w:rsid w:val="00C81F2D"/>
    <w:rsid w:val="00CA0E3D"/>
    <w:rsid w:val="00CA38DC"/>
    <w:rsid w:val="00CC3E21"/>
    <w:rsid w:val="00CF0C2D"/>
    <w:rsid w:val="00CF5C05"/>
    <w:rsid w:val="00D277F8"/>
    <w:rsid w:val="00D538E1"/>
    <w:rsid w:val="00E4226E"/>
    <w:rsid w:val="00EC72F7"/>
    <w:rsid w:val="00EE0A06"/>
    <w:rsid w:val="00F27CD8"/>
    <w:rsid w:val="00F4720E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E1CE"/>
  <w15:chartTrackingRefBased/>
  <w15:docId w15:val="{2AC4927A-6FC4-4D5B-87F9-3F5F0E41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qFormat/>
    <w:rsid w:val="00552A12"/>
    <w:pPr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2A12"/>
    <w:pPr>
      <w:spacing w:after="160" w:line="259" w:lineRule="auto"/>
      <w:ind w:left="720" w:firstLine="0"/>
      <w:contextualSpacing/>
      <w:jc w:val="left"/>
    </w:pPr>
  </w:style>
  <w:style w:type="paragraph" w:styleId="Corpodetexto">
    <w:name w:val="Body Text"/>
    <w:basedOn w:val="Normal"/>
    <w:link w:val="CorpodetextoChar"/>
    <w:unhideWhenUsed/>
    <w:rsid w:val="00CF0C2D"/>
    <w:pPr>
      <w:ind w:firstLine="0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0C2D"/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F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Solange Munsio Compagnoni</cp:lastModifiedBy>
  <cp:revision>14</cp:revision>
  <cp:lastPrinted>2022-08-11T12:35:00Z</cp:lastPrinted>
  <dcterms:created xsi:type="dcterms:W3CDTF">2021-08-18T16:17:00Z</dcterms:created>
  <dcterms:modified xsi:type="dcterms:W3CDTF">2022-08-12T10:40:00Z</dcterms:modified>
</cp:coreProperties>
</file>