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AD716" w14:textId="77777777" w:rsidR="00CD7FEA" w:rsidRDefault="006D7DF6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ELABORAÇÃO DA PESQUISA DE PREÇOS</w:t>
      </w:r>
    </w:p>
    <w:p w14:paraId="083A0F15" w14:textId="77777777" w:rsidR="00CD7FEA" w:rsidRDefault="006D7DF6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>Evidenciar o(s) objeto(s), fonte(s), método(s), memória(s) de cálculo(s), agente(s) responsável(eis) pela pesquisa, compatibilidade entre o(s) valor(es) estimado(s) da(s) contratação(ões) com o(s) valor(es) praticado(s) no mercado, assim como a previsão de recursos orçamentários com os compromissos a serem assumidos</w:t>
      </w:r>
    </w:p>
    <w:p w14:paraId="366152ED" w14:textId="77777777" w:rsidR="00CD7FEA" w:rsidRDefault="006D7DF6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CD7FEA" w14:paraId="5F95E11F" w14:textId="77777777" w:rsidTr="008D164E">
        <w:tc>
          <w:tcPr>
            <w:tcW w:w="10314" w:type="dxa"/>
            <w:gridSpan w:val="4"/>
            <w:shd w:val="clear" w:color="auto" w:fill="F2F2F2" w:themeFill="background1" w:themeFillShade="F2"/>
            <w:vAlign w:val="center"/>
          </w:tcPr>
          <w:p w14:paraId="4EB70DB6" w14:textId="77777777" w:rsidR="00CD7FEA" w:rsidRDefault="006D7DF6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Natureza(s) do(s) Objeto(s)</w:t>
            </w:r>
          </w:p>
        </w:tc>
      </w:tr>
      <w:tr w:rsidR="00CD7FEA" w14:paraId="657A389F" w14:textId="77777777">
        <w:tc>
          <w:tcPr>
            <w:tcW w:w="2660" w:type="dxa"/>
            <w:shd w:val="clear" w:color="auto" w:fill="auto"/>
            <w:vAlign w:val="center"/>
          </w:tcPr>
          <w:p w14:paraId="13EA5295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F6EDC52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07067C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90B4F0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Concessão de Bens</w:t>
            </w:r>
          </w:p>
        </w:tc>
      </w:tr>
      <w:tr w:rsidR="00CD7FEA" w14:paraId="735EBC11" w14:textId="77777777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1CDB1902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D31D2">
              <w:rPr>
                <w:sz w:val="16"/>
                <w:szCs w:val="16"/>
              </w:rPr>
              <w:t xml:space="preserve"> </w:t>
            </w:r>
            <w:r w:rsidRPr="009D31D2">
              <w:rPr>
                <w:b/>
                <w:bCs/>
                <w:sz w:val="16"/>
                <w:szCs w:val="16"/>
              </w:rPr>
              <w:t>X</w:t>
            </w:r>
            <w:r w:rsidR="009D31D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C5B3520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11C678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F7CC20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Permissão de Bens</w:t>
            </w:r>
          </w:p>
        </w:tc>
      </w:tr>
      <w:tr w:rsidR="00CD7FEA" w14:paraId="39D02C11" w14:textId="77777777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CD37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8655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Fornecimento e prestação de serviço associados</w:t>
            </w:r>
          </w:p>
        </w:tc>
      </w:tr>
    </w:tbl>
    <w:p w14:paraId="02376311" w14:textId="77777777" w:rsidR="00CD7FEA" w:rsidRDefault="006D7DF6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CD7FEA" w14:paraId="3383407D" w14:textId="77777777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1E04351" w14:textId="37034633" w:rsidR="00CD7FEA" w:rsidRDefault="00333093" w:rsidP="00855A2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Contratação de </w:t>
            </w:r>
            <w:r w:rsidR="00041E61">
              <w:rPr>
                <w:sz w:val="16"/>
                <w:szCs w:val="16"/>
              </w:rPr>
              <w:t xml:space="preserve">empresa para </w:t>
            </w:r>
            <w:r w:rsidR="00041E61" w:rsidRPr="00041E61">
              <w:rPr>
                <w:rFonts w:cs="Tahoma"/>
                <w:b/>
                <w:bCs/>
                <w:sz w:val="16"/>
                <w:szCs w:val="16"/>
              </w:rPr>
              <w:t>análise de SAÚDE e hábitos de estudantes</w:t>
            </w:r>
            <w:r w:rsidR="00041E61" w:rsidRPr="00041E61">
              <w:rPr>
                <w:rStyle w:val="Fontepargpadro5"/>
                <w:rFonts w:cs="Tahoma"/>
                <w:bCs/>
                <w:iCs/>
                <w:spacing w:val="1"/>
                <w:sz w:val="16"/>
                <w:szCs w:val="16"/>
              </w:rPr>
              <w:t xml:space="preserve"> no Município de Imigrante</w:t>
            </w:r>
            <w:r w:rsidR="00041E61" w:rsidRPr="00041E61">
              <w:rPr>
                <w:rStyle w:val="Fontepargpadro5"/>
                <w:rFonts w:cs="Tahoma"/>
                <w:bCs/>
                <w:iCs/>
                <w:spacing w:val="1"/>
                <w:sz w:val="16"/>
                <w:szCs w:val="16"/>
                <w:lang w:val="pt-PT"/>
              </w:rPr>
              <w:t>, referente ao programa (Vida+Vida sem álcool (-) 18 anos)</w:t>
            </w:r>
            <w:r w:rsidR="009D31D2" w:rsidRPr="00041E6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4D4DBF85" w14:textId="77777777" w:rsidR="00CD7FEA" w:rsidRDefault="006D7DF6">
      <w:pPr>
        <w:pStyle w:val="Ttulo1"/>
      </w:pPr>
      <w:r>
        <w:t>Caracterização das fontes consultadas (combinadas ou não)</w:t>
      </w:r>
    </w:p>
    <w:p w14:paraId="3AB92F6D" w14:textId="77777777" w:rsidR="00CD7FEA" w:rsidRDefault="006D7DF6">
      <w:pPr>
        <w:pStyle w:val="Ttulo2"/>
      </w:pPr>
      <w:r>
        <w:t>Em Caso de 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CD7FEA" w14:paraId="2E998B0D" w14:textId="77777777" w:rsidTr="008D164E"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6D5D47D4" w14:textId="77777777" w:rsidR="00CD7FEA" w:rsidRDefault="006D7DF6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CD7FEA" w14:paraId="44B35621" w14:textId="77777777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3782F17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inciso I do art. 35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- C</w:t>
            </w:r>
            <w:r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>
              <w:rPr>
                <w:sz w:val="16"/>
                <w:szCs w:val="16"/>
              </w:rPr>
              <w:t>, observado de atualização de preços o índice correspondente</w:t>
            </w:r>
            <w:r w:rsidR="009D31D2">
              <w:rPr>
                <w:sz w:val="16"/>
                <w:szCs w:val="16"/>
              </w:rPr>
              <w:t>.</w:t>
            </w:r>
          </w:p>
        </w:tc>
      </w:tr>
      <w:tr w:rsidR="00CD7FEA" w14:paraId="14F8285D" w14:textId="77777777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EFC027C" w14:textId="774595FC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55A25">
              <w:rPr>
                <w:sz w:val="16"/>
                <w:szCs w:val="16"/>
              </w:rPr>
              <w:t xml:space="preserve"> </w:t>
            </w:r>
            <w:r w:rsidRPr="006D7DF6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) Cfe. </w:t>
            </w:r>
            <w:r>
              <w:rPr>
                <w:b/>
                <w:bCs/>
                <w:sz w:val="16"/>
                <w:szCs w:val="16"/>
              </w:rPr>
              <w:t>inciso II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>, em execução ou concluídas no período de 01 ano anterior à data da pesquisa de preços, observado o índice de atualização de preços correspondente</w:t>
            </w:r>
            <w:r w:rsidR="009D31D2">
              <w:rPr>
                <w:sz w:val="16"/>
                <w:szCs w:val="16"/>
              </w:rPr>
              <w:t>.</w:t>
            </w:r>
          </w:p>
        </w:tc>
      </w:tr>
      <w:tr w:rsidR="00CD7FEA" w14:paraId="6F4C58DE" w14:textId="77777777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F313F0C" w14:textId="7FD9265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inciso II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>, em execução ou concluídas no período superior a 01 ano à data da pesquisa de preços, observado o índice de atualização de preços correspondente</w:t>
            </w:r>
            <w:r w:rsidR="009D31D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CD7FEA" w14:paraId="3EDB2184" w14:textId="77777777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FA2E9D" w14:textId="64FA741E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802C7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) Cfe. </w:t>
            </w:r>
            <w:r>
              <w:rPr>
                <w:b/>
                <w:bCs/>
                <w:sz w:val="16"/>
                <w:szCs w:val="16"/>
              </w:rPr>
              <w:t>inciso III do art. 35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  <w:r w:rsidR="009D31D2">
              <w:rPr>
                <w:sz w:val="16"/>
                <w:szCs w:val="16"/>
              </w:rPr>
              <w:t>.</w:t>
            </w:r>
          </w:p>
        </w:tc>
      </w:tr>
      <w:tr w:rsidR="00CD7FEA" w14:paraId="0BEB9F3A" w14:textId="77777777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7A18EAE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 ) Cfe. </w:t>
            </w:r>
            <w:r>
              <w:rPr>
                <w:b/>
                <w:bCs/>
                <w:sz w:val="16"/>
                <w:szCs w:val="16"/>
              </w:rPr>
              <w:t>inciso IV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9D31D2">
              <w:rPr>
                <w:sz w:val="16"/>
                <w:szCs w:val="16"/>
              </w:rPr>
              <w:t>.</w:t>
            </w:r>
          </w:p>
        </w:tc>
      </w:tr>
      <w:tr w:rsidR="00CD7FEA" w14:paraId="10A071D8" w14:textId="77777777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9482AD7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inciso V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9D31D2">
              <w:rPr>
                <w:sz w:val="16"/>
                <w:szCs w:val="16"/>
              </w:rPr>
              <w:t>.</w:t>
            </w:r>
          </w:p>
        </w:tc>
      </w:tr>
      <w:tr w:rsidR="00CD7FEA" w14:paraId="7CFD2A41" w14:textId="77777777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3C28FB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 w:rsidR="00855A25" w:rsidRPr="00855A25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Cfe. </w:t>
            </w:r>
            <w:r>
              <w:rPr>
                <w:b/>
                <w:bCs/>
                <w:sz w:val="16"/>
                <w:szCs w:val="16"/>
              </w:rPr>
              <w:t>§1º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9D31D2">
              <w:rPr>
                <w:sz w:val="16"/>
                <w:szCs w:val="16"/>
              </w:rPr>
              <w:t>.</w:t>
            </w:r>
          </w:p>
        </w:tc>
      </w:tr>
      <w:tr w:rsidR="00CD7FEA" w14:paraId="30EEE193" w14:textId="77777777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74AF03C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§2º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Estimativa mediante objetos semelhantes de mesma natureza, contendo as especificações técnicas que demonstrem a similaridade com o objeto pretendido</w:t>
            </w:r>
            <w:r>
              <w:rPr>
                <w:sz w:val="16"/>
                <w:szCs w:val="16"/>
              </w:rPr>
              <w:t>, caso o fornecedor não tenha comercializado o objeto anteriormente</w:t>
            </w:r>
            <w:r w:rsidR="009D31D2">
              <w:rPr>
                <w:sz w:val="16"/>
                <w:szCs w:val="16"/>
              </w:rPr>
              <w:t>.</w:t>
            </w:r>
          </w:p>
        </w:tc>
      </w:tr>
    </w:tbl>
    <w:p w14:paraId="57508B95" w14:textId="77777777" w:rsidR="00CD7FEA" w:rsidRDefault="006D7DF6">
      <w:pPr>
        <w:pStyle w:val="Ttulo3"/>
      </w:pPr>
      <w:r>
        <w:t xml:space="preserve"> Complementação de Informações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970"/>
        <w:gridCol w:w="6372"/>
      </w:tblGrid>
      <w:tr w:rsidR="009D31D2" w14:paraId="2640C053" w14:textId="77777777" w:rsidTr="005713D5">
        <w:trPr>
          <w:trHeight w:val="291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807C266" w14:textId="77777777" w:rsidR="009D31D2" w:rsidRDefault="009D31D2" w:rsidP="005713D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342" w:type="dxa"/>
            <w:gridSpan w:val="2"/>
            <w:shd w:val="clear" w:color="auto" w:fill="F2F2F2" w:themeFill="background1" w:themeFillShade="F2"/>
            <w:vAlign w:val="center"/>
          </w:tcPr>
          <w:p w14:paraId="6CB992C7" w14:textId="07EC89E4" w:rsidR="009D31D2" w:rsidRPr="005713D5" w:rsidRDefault="005713D5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</w:rPr>
            </w:pPr>
            <w:r w:rsidRPr="005713D5">
              <w:rPr>
                <w:rFonts w:cs="Tahoma"/>
                <w:b/>
                <w:bCs/>
                <w:sz w:val="16"/>
                <w:szCs w:val="16"/>
                <w:shd w:val="clear" w:color="auto" w:fill="FFFFFF"/>
              </w:rPr>
              <w:t>CASTRO - ASSESSORIA, EDUCACAO E PESQUISA EM SAUDE</w:t>
            </w:r>
            <w:r>
              <w:rPr>
                <w:rFonts w:cs="Tahoma"/>
                <w:b/>
                <w:bCs/>
                <w:sz w:val="16"/>
                <w:szCs w:val="16"/>
                <w:shd w:val="clear" w:color="auto" w:fill="FFFFFF"/>
              </w:rPr>
              <w:t xml:space="preserve"> - </w:t>
            </w:r>
            <w:r w:rsidR="009802C7" w:rsidRPr="005713D5">
              <w:rPr>
                <w:rFonts w:cs="Tahoma"/>
                <w:b/>
                <w:bCs/>
                <w:sz w:val="16"/>
                <w:szCs w:val="16"/>
                <w:shd w:val="clear" w:color="auto" w:fill="FFFFFF"/>
              </w:rPr>
              <w:t>LUIS CESAR DE CASTRO</w:t>
            </w:r>
          </w:p>
        </w:tc>
      </w:tr>
      <w:tr w:rsidR="00CD7FEA" w14:paraId="08925FBC" w14:textId="77777777" w:rsidTr="009D31D2">
        <w:trPr>
          <w:trHeight w:val="535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F683" w14:textId="77777777" w:rsidR="00CD7FEA" w:rsidRPr="005713D5" w:rsidRDefault="006D7DF6">
            <w:pPr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  <w:r w:rsidRPr="005713D5">
              <w:rPr>
                <w:b/>
                <w:bCs/>
                <w:sz w:val="16"/>
                <w:szCs w:val="16"/>
                <w:highlight w:val="yellow"/>
              </w:rPr>
              <w:t>Justificativa da escolha dos fornecedores para cotação:</w:t>
            </w:r>
          </w:p>
          <w:p w14:paraId="47E3C892" w14:textId="17956167" w:rsidR="00CD7FEA" w:rsidRPr="005713D5" w:rsidRDefault="006D17F4">
            <w:pPr>
              <w:ind w:firstLine="0"/>
              <w:rPr>
                <w:sz w:val="16"/>
                <w:szCs w:val="16"/>
                <w:highlight w:val="yellow"/>
              </w:rPr>
            </w:pPr>
            <w:r>
              <w:rPr>
                <w:highlight w:val="yellow"/>
                <w:lang w:val="pt-PT"/>
              </w:rPr>
              <w:t>Conforme justifica do preço e razão da escolha do fornecedor em anexo</w:t>
            </w:r>
            <w:r w:rsidR="005A4CC0" w:rsidRPr="005713D5">
              <w:rPr>
                <w:highlight w:val="yellow"/>
                <w:lang w:val="pt-PT"/>
              </w:rPr>
              <w:t>.</w:t>
            </w:r>
          </w:p>
        </w:tc>
      </w:tr>
      <w:tr w:rsidR="00CD7FEA" w14:paraId="5F36C98D" w14:textId="77777777">
        <w:trPr>
          <w:trHeight w:val="163"/>
        </w:trPr>
        <w:tc>
          <w:tcPr>
            <w:tcW w:w="3942" w:type="dxa"/>
            <w:gridSpan w:val="2"/>
            <w:shd w:val="clear" w:color="auto" w:fill="auto"/>
            <w:vAlign w:val="center"/>
          </w:tcPr>
          <w:p w14:paraId="726F68D7" w14:textId="77777777" w:rsidR="00CD7FEA" w:rsidRDefault="006D7DF6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3715ED21" w14:textId="77777777" w:rsidR="00CD7FEA" w:rsidRDefault="00855A25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dias</w:t>
            </w:r>
          </w:p>
        </w:tc>
      </w:tr>
      <w:tr w:rsidR="00CD7FEA" w14:paraId="2C0AE8AE" w14:textId="77777777">
        <w:trPr>
          <w:trHeight w:val="274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3DF19C3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55A2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X ) As </w:t>
            </w:r>
            <w:r>
              <w:rPr>
                <w:b/>
                <w:bCs/>
                <w:sz w:val="16"/>
                <w:szCs w:val="16"/>
              </w:rPr>
              <w:t>propostas formais obtidas contiveram, ao menos</w:t>
            </w:r>
            <w:r>
              <w:rPr>
                <w:sz w:val="16"/>
                <w:szCs w:val="16"/>
              </w:rPr>
              <w:t>:</w:t>
            </w:r>
          </w:p>
          <w:p w14:paraId="30EC2B20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a)</w:t>
            </w:r>
            <w:r>
              <w:rPr>
                <w:sz w:val="16"/>
                <w:szCs w:val="16"/>
              </w:rPr>
              <w:t xml:space="preserve"> descrição do objeto, valor unitário e total;</w:t>
            </w:r>
          </w:p>
          <w:p w14:paraId="6F3F49EE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</w:t>
            </w:r>
            <w:r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6A043176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c)</w:t>
            </w:r>
            <w:r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3DEA5B67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 xml:space="preserve"> data de emissão;</w:t>
            </w:r>
          </w:p>
          <w:p w14:paraId="62C14898" w14:textId="77777777" w:rsidR="00CD7FEA" w:rsidRDefault="006D7DF6">
            <w:r>
              <w:rPr>
                <w:b/>
                <w:sz w:val="16"/>
                <w:szCs w:val="16"/>
              </w:rPr>
              <w:t>e)</w:t>
            </w:r>
            <w:r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CD7FEA" w14:paraId="2B5FAC7C" w14:textId="77777777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1F8C" w14:textId="77777777" w:rsidR="00CD7FEA" w:rsidRDefault="006D7DF6">
            <w:pPr>
              <w:ind w:left="306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55A2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X ) Os </w:t>
            </w:r>
            <w:r>
              <w:rPr>
                <w:b/>
                <w:bCs/>
                <w:sz w:val="16"/>
                <w:szCs w:val="16"/>
              </w:rPr>
              <w:t>fornecedores foram informados das características da contratação</w:t>
            </w:r>
            <w:r>
              <w:rPr>
                <w:sz w:val="16"/>
                <w:szCs w:val="16"/>
              </w:rPr>
              <w:t xml:space="preserve">, assim como </w:t>
            </w:r>
            <w:r>
              <w:rPr>
                <w:b/>
                <w:bCs/>
                <w:sz w:val="16"/>
                <w:szCs w:val="16"/>
              </w:rPr>
              <w:t>das condições comerciais praticadas</w:t>
            </w:r>
            <w:r>
              <w:rPr>
                <w:sz w:val="16"/>
                <w:szCs w:val="16"/>
              </w:rPr>
              <w:t xml:space="preserve"> para o(s) objeto(s) a ser(em) contratado(s):</w:t>
            </w:r>
          </w:p>
          <w:p w14:paraId="76000A82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a)</w:t>
            </w:r>
            <w:r>
              <w:rPr>
                <w:sz w:val="16"/>
                <w:szCs w:val="16"/>
              </w:rPr>
              <w:t xml:space="preserve"> Quantidade estimada a ser contratada;</w:t>
            </w:r>
          </w:p>
          <w:p w14:paraId="7AA01675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</w:t>
            </w:r>
            <w:r>
              <w:rPr>
                <w:sz w:val="16"/>
                <w:szCs w:val="16"/>
              </w:rPr>
              <w:t xml:space="preserve"> Custos, locais e prazos de entrega;</w:t>
            </w:r>
          </w:p>
          <w:p w14:paraId="6A8A82CF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c)</w:t>
            </w:r>
            <w:r>
              <w:rPr>
                <w:sz w:val="16"/>
                <w:szCs w:val="16"/>
              </w:rPr>
              <w:t xml:space="preserve"> Formas e prazos de pagamento;</w:t>
            </w:r>
          </w:p>
          <w:p w14:paraId="5EC92639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 xml:space="preserve"> Garantias exigidas;</w:t>
            </w:r>
          </w:p>
          <w:p w14:paraId="65CC4F8B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e)</w:t>
            </w:r>
            <w:r>
              <w:rPr>
                <w:sz w:val="16"/>
                <w:szCs w:val="16"/>
              </w:rPr>
              <w:t xml:space="preserve"> Necessidade de instalação e montagem do bem ou da execução do serviço;</w:t>
            </w:r>
          </w:p>
          <w:p w14:paraId="6A14647B" w14:textId="77777777" w:rsidR="00CD7FEA" w:rsidRDefault="006D7DF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f)</w:t>
            </w:r>
            <w:r>
              <w:rPr>
                <w:sz w:val="16"/>
                <w:szCs w:val="16"/>
              </w:rPr>
              <w:t xml:space="preserve"> Marcas e modelos, quando for o caso</w:t>
            </w:r>
          </w:p>
        </w:tc>
      </w:tr>
    </w:tbl>
    <w:p w14:paraId="1068D6CF" w14:textId="77777777" w:rsidR="00CD7FEA" w:rsidRDefault="006D7DF6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CD7FEA" w14:paraId="68F033B1" w14:textId="77777777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1057ACC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 ) 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A44B568" w14:textId="32944DA6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802C7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Não se aplica</w:t>
            </w:r>
          </w:p>
        </w:tc>
      </w:tr>
      <w:tr w:rsidR="00CD7FEA" w14:paraId="17203F06" w14:textId="77777777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61FBF021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 w:rsidRPr="009D31D2">
              <w:rPr>
                <w:sz w:val="16"/>
                <w:szCs w:val="16"/>
                <w:lang w:val="en-US"/>
              </w:rPr>
              <w:lastRenderedPageBreak/>
              <w:t xml:space="preserve">(  ) </w:t>
            </w:r>
            <w:proofErr w:type="spellStart"/>
            <w:r w:rsidRPr="009D31D2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9D31D2">
              <w:rPr>
                <w:sz w:val="16"/>
                <w:szCs w:val="16"/>
                <w:lang w:val="en-US"/>
              </w:rPr>
              <w:t xml:space="preserve">. art. § 8º do art. 37 do Dec. </w:t>
            </w:r>
            <w:r>
              <w:rPr>
                <w:sz w:val="16"/>
                <w:szCs w:val="16"/>
              </w:rPr>
              <w:t>Munic. 2.130/23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1938123C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 w:rsidRPr="009D31D2">
              <w:rPr>
                <w:sz w:val="16"/>
                <w:szCs w:val="16"/>
                <w:lang w:val="en-US"/>
              </w:rPr>
              <w:t xml:space="preserve">(  ) </w:t>
            </w:r>
            <w:proofErr w:type="spellStart"/>
            <w:r w:rsidRPr="009D31D2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9D31D2">
              <w:rPr>
                <w:sz w:val="16"/>
                <w:szCs w:val="16"/>
                <w:lang w:val="en-US"/>
              </w:rPr>
              <w:t xml:space="preserve">. art. § 9º do art. 37 do Dec. </w:t>
            </w:r>
            <w:r>
              <w:rPr>
                <w:sz w:val="16"/>
                <w:szCs w:val="16"/>
              </w:rPr>
              <w:t>Munic. 2.130/23 (excepcional)</w:t>
            </w:r>
          </w:p>
        </w:tc>
      </w:tr>
    </w:tbl>
    <w:p w14:paraId="4B1E77A3" w14:textId="77777777" w:rsidR="00CD7FEA" w:rsidRDefault="006D7DF6">
      <w:pPr>
        <w:pStyle w:val="Ttulo2"/>
      </w:pPr>
      <w:r>
        <w:t>Itens Estimados com Base em menos de 03 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CD7FEA" w14:paraId="60A7ED72" w14:textId="77777777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6AE0735E" w14:textId="7E739D86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B486A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FB6BE1B" w14:textId="22568B5C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855A25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Conforme relação de itens abaixo: </w:t>
            </w:r>
          </w:p>
        </w:tc>
      </w:tr>
      <w:tr w:rsidR="00CD7FEA" w14:paraId="3A880AB6" w14:textId="77777777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54D0DE0" w14:textId="77777777" w:rsidR="00CD7FEA" w:rsidRDefault="006D7DF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estimativa com menos de 03 preços:</w:t>
            </w:r>
          </w:p>
          <w:p w14:paraId="181A0D97" w14:textId="329A3F0E" w:rsidR="00CD7FEA" w:rsidRDefault="00855A25">
            <w:pPr>
              <w:ind w:firstLine="0"/>
              <w:rPr>
                <w:sz w:val="16"/>
                <w:szCs w:val="16"/>
              </w:rPr>
            </w:pPr>
            <w:r w:rsidRPr="00855A25">
              <w:rPr>
                <w:sz w:val="16"/>
                <w:szCs w:val="16"/>
              </w:rPr>
              <w:t>Por se tratar de uma Inexigibilidade</w:t>
            </w:r>
            <w:r w:rsidR="00F55F3C">
              <w:rPr>
                <w:sz w:val="16"/>
                <w:szCs w:val="16"/>
              </w:rPr>
              <w:t xml:space="preserve"> para “</w:t>
            </w:r>
            <w:r w:rsidR="00F55F3C" w:rsidRPr="00041E61">
              <w:rPr>
                <w:rFonts w:cs="Tahoma"/>
                <w:color w:val="000000"/>
                <w:sz w:val="16"/>
                <w:szCs w:val="16"/>
              </w:rPr>
              <w:t>contratação dos seguintes serviços técnicos especializados de natureza predominantemente intelectual com profissionais ou empresas de notória especialização, vedada a inexigibilidade para serviços de publicidade e divulgação</w:t>
            </w:r>
            <w:r w:rsidR="00F55F3C" w:rsidRPr="00041E61">
              <w:rPr>
                <w:rFonts w:cs="Tahoma"/>
                <w:sz w:val="16"/>
                <w:szCs w:val="16"/>
              </w:rPr>
              <w:t xml:space="preserve"> </w:t>
            </w:r>
            <w:r w:rsidR="00F55F3C">
              <w:rPr>
                <w:sz w:val="16"/>
                <w:szCs w:val="16"/>
              </w:rPr>
              <w:t xml:space="preserve">“, </w:t>
            </w:r>
            <w:r w:rsidR="00F55F3C" w:rsidRPr="00F55F3C">
              <w:rPr>
                <w:rFonts w:cs="Tahoma"/>
                <w:sz w:val="16"/>
                <w:szCs w:val="16"/>
              </w:rPr>
              <w:t>“</w:t>
            </w:r>
            <w:r w:rsidR="00F55F3C" w:rsidRPr="00F55F3C">
              <w:rPr>
                <w:rFonts w:cs="Tahoma"/>
                <w:color w:val="000000"/>
                <w:sz w:val="16"/>
                <w:szCs w:val="16"/>
              </w:rPr>
              <w:t>estudos técnicos, planejamentos, projetos básicos ou projetos executivos;</w:t>
            </w:r>
            <w:r w:rsidR="00F55F3C" w:rsidRPr="00F55F3C">
              <w:rPr>
                <w:rFonts w:cs="Tahoma"/>
                <w:sz w:val="16"/>
                <w:szCs w:val="16"/>
              </w:rPr>
              <w:t xml:space="preserve"> </w:t>
            </w:r>
            <w:r w:rsidR="00F55F3C">
              <w:rPr>
                <w:sz w:val="16"/>
                <w:szCs w:val="16"/>
              </w:rPr>
              <w:t>“ (Art. 74, Inciso III, alínea a da Lei 14.133/2021) é inviável a competição.</w:t>
            </w:r>
            <w:r w:rsidRPr="00855A25">
              <w:rPr>
                <w:sz w:val="16"/>
                <w:szCs w:val="16"/>
              </w:rPr>
              <w:t xml:space="preserve"> </w:t>
            </w:r>
          </w:p>
        </w:tc>
      </w:tr>
    </w:tbl>
    <w:p w14:paraId="100FAC15" w14:textId="77777777" w:rsidR="00CD7FEA" w:rsidRDefault="006D7DF6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CD7FEA" w14:paraId="43442024" w14:textId="77777777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44494B70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 ) 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ADFEF2A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E6F22E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E592F9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55A25">
              <w:rPr>
                <w:sz w:val="16"/>
                <w:szCs w:val="16"/>
              </w:rPr>
              <w:t xml:space="preserve"> </w:t>
            </w:r>
            <w:r w:rsidRPr="00855A25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Outro método (justificar abaixo)</w:t>
            </w:r>
          </w:p>
        </w:tc>
      </w:tr>
      <w:tr w:rsidR="00CD7FEA" w14:paraId="22D15A8B" w14:textId="77777777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DC12" w14:textId="77777777" w:rsidR="00CD7FEA" w:rsidRDefault="006D7DF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de outro critério/método para definição do valor(es) estimado(s):</w:t>
            </w:r>
          </w:p>
          <w:p w14:paraId="21B473F6" w14:textId="715F4F05" w:rsidR="00CD7FEA" w:rsidRDefault="005A4CC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 se tratar de uma Inexigibilidade para</w:t>
            </w:r>
            <w:r w:rsidR="00041E61">
              <w:rPr>
                <w:sz w:val="16"/>
                <w:szCs w:val="16"/>
              </w:rPr>
              <w:t xml:space="preserve"> “</w:t>
            </w:r>
            <w:r w:rsidR="00041E61" w:rsidRPr="00041E61">
              <w:rPr>
                <w:rFonts w:cs="Tahoma"/>
                <w:color w:val="000000"/>
                <w:sz w:val="16"/>
                <w:szCs w:val="16"/>
              </w:rPr>
              <w:t>contratação dos seguintes serviços técnicos especializados de natureza predominantemente intelectual com profissionais ou empresas de notória especialização, vedada a inexigibilidade para serviços de publicidade e divulgação</w:t>
            </w:r>
            <w:r w:rsidRPr="00041E61">
              <w:rPr>
                <w:rFonts w:cs="Tahom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“</w:t>
            </w:r>
            <w:r w:rsidR="00041E61">
              <w:rPr>
                <w:sz w:val="16"/>
                <w:szCs w:val="16"/>
              </w:rPr>
              <w:t xml:space="preserve">, </w:t>
            </w:r>
            <w:r w:rsidR="00041E61" w:rsidRPr="00F55F3C">
              <w:rPr>
                <w:rFonts w:cs="Tahoma"/>
                <w:sz w:val="16"/>
                <w:szCs w:val="16"/>
              </w:rPr>
              <w:t>“</w:t>
            </w:r>
            <w:r w:rsidR="00041E61" w:rsidRPr="00F55F3C">
              <w:rPr>
                <w:rFonts w:cs="Tahoma"/>
                <w:color w:val="000000"/>
                <w:sz w:val="16"/>
                <w:szCs w:val="16"/>
              </w:rPr>
              <w:t>estudos técnicos, planejamentos, projetos básicos ou projetos executivos;</w:t>
            </w:r>
            <w:r w:rsidR="00041E61" w:rsidRPr="00F55F3C">
              <w:rPr>
                <w:rFonts w:cs="Tahoma"/>
                <w:sz w:val="16"/>
                <w:szCs w:val="16"/>
              </w:rPr>
              <w:t xml:space="preserve"> </w:t>
            </w:r>
            <w:r w:rsidR="00041E61">
              <w:rPr>
                <w:sz w:val="16"/>
                <w:szCs w:val="16"/>
              </w:rPr>
              <w:t>“ (</w:t>
            </w:r>
            <w:r>
              <w:rPr>
                <w:sz w:val="16"/>
                <w:szCs w:val="16"/>
              </w:rPr>
              <w:t xml:space="preserve">Art. 74, Inciso </w:t>
            </w:r>
            <w:r w:rsidR="00041E61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II,</w:t>
            </w:r>
            <w:r w:rsidR="00041E61">
              <w:rPr>
                <w:sz w:val="16"/>
                <w:szCs w:val="16"/>
              </w:rPr>
              <w:t xml:space="preserve"> alínea a da</w:t>
            </w:r>
            <w:r>
              <w:rPr>
                <w:sz w:val="16"/>
                <w:szCs w:val="16"/>
              </w:rPr>
              <w:t xml:space="preserve"> Lei 14.133/2021) é inviável a competição. Anexo ao processo de compra encontram-se divers</w:t>
            </w:r>
            <w:r w:rsidR="00BD38ED">
              <w:rPr>
                <w:sz w:val="16"/>
                <w:szCs w:val="16"/>
              </w:rPr>
              <w:t>os contratos, orçamentos e Notas Fiscais que comprovam que o preço se encontra dentro do valor de mercado praticado pela banda.</w:t>
            </w:r>
          </w:p>
        </w:tc>
      </w:tr>
    </w:tbl>
    <w:p w14:paraId="548B467C" w14:textId="77777777" w:rsidR="00CD7FEA" w:rsidRDefault="006D7DF6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CD7FEA" w14:paraId="10DE509C" w14:textId="77777777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7E1BE187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55A25">
              <w:rPr>
                <w:sz w:val="16"/>
                <w:szCs w:val="16"/>
              </w:rPr>
              <w:t xml:space="preserve"> </w:t>
            </w:r>
            <w:r w:rsidRPr="00855A25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EA7FA1F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5D333753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Subtraído percentual de XX,XX %</w:t>
            </w:r>
          </w:p>
        </w:tc>
      </w:tr>
      <w:tr w:rsidR="00CD7FEA" w14:paraId="616C5B5B" w14:textId="77777777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BC721E6" w14:textId="77777777" w:rsidR="00CD7FEA" w:rsidRPr="00855A25" w:rsidRDefault="006D7DF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14F993FE" w14:textId="77777777" w:rsidR="00CD7FEA" w:rsidRDefault="006D7DF6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CD7FEA" w14:paraId="2F1C7CFE" w14:textId="77777777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45AF3A42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55A25">
              <w:rPr>
                <w:sz w:val="16"/>
                <w:szCs w:val="16"/>
              </w:rPr>
              <w:t xml:space="preserve"> </w:t>
            </w:r>
            <w:r w:rsidRPr="00855A25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E5ADEA6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Desconsiderados preços inexequíveis</w:t>
            </w:r>
          </w:p>
        </w:tc>
      </w:tr>
      <w:tr w:rsidR="00CD7FEA" w14:paraId="5D1BA289" w14:textId="77777777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72F3EB52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12979AD5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Desconsiderados preços excessivamente elevados</w:t>
            </w:r>
          </w:p>
        </w:tc>
      </w:tr>
      <w:tr w:rsidR="00CD7FEA" w14:paraId="4DB99605" w14:textId="77777777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83754B7" w14:textId="77777777" w:rsidR="00CD7FEA" w:rsidRPr="00855A25" w:rsidRDefault="006D7DF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63BD17BA" w14:textId="77777777" w:rsidR="00CD7FEA" w:rsidRDefault="006D7DF6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CD7FEA" w14:paraId="661E4215" w14:textId="77777777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68443992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1C6191AC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 w:rsidRPr="00855A25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Não se aplica</w:t>
            </w:r>
          </w:p>
        </w:tc>
      </w:tr>
    </w:tbl>
    <w:p w14:paraId="31DA0E39" w14:textId="77777777" w:rsidR="00CD7FEA" w:rsidRDefault="006D7DF6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CD7FEA" w14:paraId="31DF97CF" w14:textId="77777777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5607E72" w14:textId="2541090D" w:rsidR="00CD7FEA" w:rsidRDefault="006D7DF6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855A25">
              <w:rPr>
                <w:b/>
                <w:bCs/>
                <w:sz w:val="16"/>
                <w:szCs w:val="16"/>
              </w:rPr>
              <w:t xml:space="preserve">R$ </w:t>
            </w:r>
            <w:r w:rsidR="00041E61">
              <w:rPr>
                <w:b/>
                <w:bCs/>
                <w:sz w:val="16"/>
                <w:szCs w:val="16"/>
              </w:rPr>
              <w:t>4</w:t>
            </w:r>
            <w:r w:rsidR="00041E61">
              <w:rPr>
                <w:b/>
                <w:sz w:val="16"/>
                <w:szCs w:val="16"/>
              </w:rPr>
              <w:t>4</w:t>
            </w:r>
            <w:r w:rsidR="00333093">
              <w:rPr>
                <w:b/>
                <w:bCs/>
                <w:sz w:val="16"/>
                <w:szCs w:val="16"/>
              </w:rPr>
              <w:t>.</w:t>
            </w:r>
            <w:r w:rsidR="00041E61">
              <w:rPr>
                <w:b/>
                <w:bCs/>
                <w:sz w:val="16"/>
                <w:szCs w:val="16"/>
              </w:rPr>
              <w:t>2</w:t>
            </w:r>
            <w:r w:rsidR="00041E61">
              <w:rPr>
                <w:b/>
                <w:sz w:val="16"/>
                <w:szCs w:val="16"/>
              </w:rPr>
              <w:t>5</w:t>
            </w:r>
            <w:r w:rsidR="00333093">
              <w:rPr>
                <w:b/>
                <w:bCs/>
                <w:sz w:val="16"/>
                <w:szCs w:val="16"/>
              </w:rPr>
              <w:t>0</w:t>
            </w:r>
            <w:r w:rsidRPr="00855A25">
              <w:rPr>
                <w:b/>
                <w:bCs/>
                <w:sz w:val="16"/>
                <w:szCs w:val="16"/>
              </w:rPr>
              <w:t>,00</w:t>
            </w:r>
          </w:p>
        </w:tc>
      </w:tr>
    </w:tbl>
    <w:p w14:paraId="69CFA31C" w14:textId="77777777" w:rsidR="00CD7FEA" w:rsidRDefault="006D7DF6">
      <w:pPr>
        <w:pStyle w:val="Ttulo1"/>
      </w:pPr>
      <w:r>
        <w:t>Compatibilidade da Previsão de Recursos Orçamentários com o Compromisso a Ser Assumido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CD7FEA" w14:paraId="0D99CFC1" w14:textId="77777777" w:rsidTr="00855A25">
        <w:trPr>
          <w:trHeight w:val="260"/>
        </w:trPr>
        <w:tc>
          <w:tcPr>
            <w:tcW w:w="6232" w:type="dxa"/>
            <w:shd w:val="clear" w:color="auto" w:fill="auto"/>
            <w:vAlign w:val="center"/>
          </w:tcPr>
          <w:p w14:paraId="5DB14AE0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55A25">
              <w:rPr>
                <w:sz w:val="16"/>
                <w:szCs w:val="16"/>
              </w:rPr>
              <w:t xml:space="preserve"> </w:t>
            </w:r>
            <w:r w:rsidRPr="00855A25">
              <w:rPr>
                <w:b/>
                <w:bCs/>
                <w:sz w:val="16"/>
                <w:szCs w:val="16"/>
              </w:rPr>
              <w:t>X</w:t>
            </w:r>
            <w:r w:rsidR="00855A2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) 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75926E2E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 ) Não se aplica por ser SRP</w:t>
            </w:r>
          </w:p>
        </w:tc>
      </w:tr>
    </w:tbl>
    <w:p w14:paraId="60C3C819" w14:textId="77777777" w:rsidR="00CD7FEA" w:rsidRDefault="006D7DF6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CD7FEA" w14:paraId="0F3F742A" w14:textId="77777777" w:rsidTr="00855A25">
        <w:trPr>
          <w:trHeight w:val="215"/>
        </w:trPr>
        <w:tc>
          <w:tcPr>
            <w:tcW w:w="5157" w:type="dxa"/>
            <w:shd w:val="clear" w:color="auto" w:fill="auto"/>
            <w:vAlign w:val="center"/>
          </w:tcPr>
          <w:p w14:paraId="51E04EA2" w14:textId="77777777" w:rsidR="00CD7FEA" w:rsidRDefault="006D7DF6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55A25">
              <w:rPr>
                <w:sz w:val="16"/>
                <w:szCs w:val="16"/>
              </w:rPr>
              <w:t xml:space="preserve"> </w:t>
            </w:r>
            <w:r w:rsidRPr="00855A25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53577BE" w14:textId="77777777" w:rsidR="00CD7FEA" w:rsidRDefault="006D7DF6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Sigiloso, cfe. § 10 do Art. 37 da Dec. Munic. 2.130/23</w:t>
            </w:r>
          </w:p>
        </w:tc>
      </w:tr>
    </w:tbl>
    <w:p w14:paraId="10583552" w14:textId="77777777" w:rsidR="00CD7FEA" w:rsidRDefault="006D7DF6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CD7FEA" w14:paraId="25EA7B8F" w14:textId="77777777">
        <w:tc>
          <w:tcPr>
            <w:tcW w:w="7083" w:type="dxa"/>
            <w:shd w:val="clear" w:color="auto" w:fill="auto"/>
            <w:vAlign w:val="center"/>
          </w:tcPr>
          <w:p w14:paraId="230237E6" w14:textId="77777777" w:rsidR="00CD7FEA" w:rsidRDefault="006D7DF6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27335F" w14:textId="77777777" w:rsidR="00CD7FEA" w:rsidRDefault="006D7DF6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Confirmação</w:t>
            </w:r>
          </w:p>
        </w:tc>
      </w:tr>
      <w:tr w:rsidR="00CD7FEA" w14:paraId="786D52E8" w14:textId="77777777" w:rsidTr="00855A25">
        <w:trPr>
          <w:trHeight w:val="293"/>
        </w:trPr>
        <w:tc>
          <w:tcPr>
            <w:tcW w:w="7083" w:type="dxa"/>
            <w:shd w:val="clear" w:color="auto" w:fill="auto"/>
            <w:vAlign w:val="center"/>
          </w:tcPr>
          <w:p w14:paraId="2F92F1B2" w14:textId="77777777" w:rsidR="00CD7FEA" w:rsidRDefault="006D7D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Jorge Diehl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4EFDDA" w14:textId="77777777" w:rsidR="00CD7FEA" w:rsidRDefault="00CD7FE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5128FC3" w14:textId="77777777" w:rsidR="00CD7FEA" w:rsidRDefault="00CD7FEA"/>
    <w:p w14:paraId="0421DA86" w14:textId="376166EA" w:rsidR="00CD7FEA" w:rsidRPr="008D164E" w:rsidRDefault="006D7DF6">
      <w:pPr>
        <w:jc w:val="right"/>
        <w:rPr>
          <w:sz w:val="16"/>
          <w:szCs w:val="16"/>
        </w:rPr>
      </w:pPr>
      <w:r w:rsidRPr="008D164E">
        <w:rPr>
          <w:sz w:val="16"/>
          <w:szCs w:val="16"/>
        </w:rPr>
        <w:t xml:space="preserve">Imigrante, </w:t>
      </w:r>
      <w:r w:rsidR="00FC09CC">
        <w:rPr>
          <w:sz w:val="16"/>
          <w:szCs w:val="16"/>
        </w:rPr>
        <w:t>04</w:t>
      </w:r>
      <w:r w:rsidRPr="008D164E">
        <w:rPr>
          <w:sz w:val="16"/>
          <w:szCs w:val="16"/>
        </w:rPr>
        <w:t xml:space="preserve"> de </w:t>
      </w:r>
      <w:r w:rsidR="00FC09CC">
        <w:rPr>
          <w:sz w:val="16"/>
          <w:szCs w:val="16"/>
        </w:rPr>
        <w:t>abril</w:t>
      </w:r>
      <w:r w:rsidRPr="008D164E">
        <w:rPr>
          <w:sz w:val="16"/>
          <w:szCs w:val="16"/>
        </w:rPr>
        <w:t xml:space="preserve"> de 202</w:t>
      </w:r>
      <w:r w:rsidR="00333093" w:rsidRPr="008D164E">
        <w:rPr>
          <w:sz w:val="16"/>
          <w:szCs w:val="16"/>
        </w:rPr>
        <w:t>5</w:t>
      </w:r>
      <w:r w:rsidRPr="008D164E">
        <w:rPr>
          <w:sz w:val="16"/>
          <w:szCs w:val="16"/>
        </w:rPr>
        <w:t>.</w:t>
      </w:r>
    </w:p>
    <w:p w14:paraId="21C90060" w14:textId="77777777" w:rsidR="00CD7FEA" w:rsidRPr="008D164E" w:rsidRDefault="00CD7FEA">
      <w:pPr>
        <w:jc w:val="right"/>
        <w:rPr>
          <w:sz w:val="16"/>
          <w:szCs w:val="16"/>
        </w:rPr>
      </w:pPr>
    </w:p>
    <w:tbl>
      <w:tblPr>
        <w:tblStyle w:val="Tabelacomgrad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2"/>
      </w:tblGrid>
      <w:tr w:rsidR="005713D5" w:rsidRPr="00A63EE0" w14:paraId="62370E2E" w14:textId="77777777" w:rsidTr="00300420">
        <w:tc>
          <w:tcPr>
            <w:tcW w:w="4962" w:type="dxa"/>
          </w:tcPr>
          <w:p w14:paraId="6748C219" w14:textId="77777777" w:rsidR="005713D5" w:rsidRPr="00A63EE0" w:rsidRDefault="005713D5" w:rsidP="00300420">
            <w:pPr>
              <w:ind w:firstLine="0"/>
              <w:rPr>
                <w:szCs w:val="18"/>
              </w:rPr>
            </w:pPr>
          </w:p>
          <w:p w14:paraId="6D4B39E2" w14:textId="77777777" w:rsidR="005713D5" w:rsidRPr="00A63EE0" w:rsidRDefault="005713D5" w:rsidP="00300420">
            <w:pPr>
              <w:jc w:val="center"/>
              <w:rPr>
                <w:szCs w:val="18"/>
              </w:rPr>
            </w:pPr>
          </w:p>
          <w:p w14:paraId="79F87627" w14:textId="77777777" w:rsidR="005713D5" w:rsidRPr="00A63EE0" w:rsidRDefault="005713D5" w:rsidP="00300420">
            <w:pPr>
              <w:jc w:val="center"/>
              <w:rPr>
                <w:szCs w:val="18"/>
              </w:rPr>
            </w:pPr>
          </w:p>
          <w:p w14:paraId="4BD9BB77" w14:textId="77777777" w:rsidR="005713D5" w:rsidRPr="00A63EE0" w:rsidRDefault="005713D5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_____________________________________________</w:t>
            </w:r>
          </w:p>
          <w:p w14:paraId="7AF9A376" w14:textId="77777777" w:rsidR="005713D5" w:rsidRPr="00A63EE0" w:rsidRDefault="005713D5" w:rsidP="00300420">
            <w:pPr>
              <w:jc w:val="center"/>
              <w:rPr>
                <w:b/>
                <w:bCs/>
                <w:szCs w:val="18"/>
              </w:rPr>
            </w:pPr>
            <w:r w:rsidRPr="00A63EE0">
              <w:rPr>
                <w:b/>
                <w:bCs/>
                <w:szCs w:val="18"/>
              </w:rPr>
              <w:t xml:space="preserve">Carlos Alexandre Lutterbeck </w:t>
            </w:r>
          </w:p>
          <w:p w14:paraId="5600E0E6" w14:textId="77777777" w:rsidR="005713D5" w:rsidRPr="00A63EE0" w:rsidRDefault="005713D5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Secretário Municipal de Educação</w:t>
            </w:r>
          </w:p>
        </w:tc>
        <w:tc>
          <w:tcPr>
            <w:tcW w:w="5242" w:type="dxa"/>
          </w:tcPr>
          <w:p w14:paraId="7AC0BB48" w14:textId="77777777" w:rsidR="005713D5" w:rsidRPr="00A63EE0" w:rsidRDefault="005713D5" w:rsidP="00300420">
            <w:pPr>
              <w:ind w:firstLine="0"/>
              <w:rPr>
                <w:szCs w:val="18"/>
              </w:rPr>
            </w:pPr>
          </w:p>
          <w:p w14:paraId="4EDDB04B" w14:textId="77777777" w:rsidR="005713D5" w:rsidRPr="00A63EE0" w:rsidRDefault="005713D5" w:rsidP="00300420">
            <w:pPr>
              <w:jc w:val="center"/>
              <w:rPr>
                <w:szCs w:val="18"/>
              </w:rPr>
            </w:pPr>
          </w:p>
          <w:p w14:paraId="29C0FFE5" w14:textId="77777777" w:rsidR="005713D5" w:rsidRPr="00A63EE0" w:rsidRDefault="005713D5" w:rsidP="00300420">
            <w:pPr>
              <w:jc w:val="center"/>
              <w:rPr>
                <w:szCs w:val="18"/>
              </w:rPr>
            </w:pPr>
          </w:p>
          <w:p w14:paraId="6C25B514" w14:textId="77777777" w:rsidR="005713D5" w:rsidRPr="00A63EE0" w:rsidRDefault="005713D5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</w:t>
            </w:r>
          </w:p>
          <w:p w14:paraId="7DA0A5A4" w14:textId="77777777" w:rsidR="005713D5" w:rsidRPr="00A63EE0" w:rsidRDefault="005713D5" w:rsidP="00300420">
            <w:pPr>
              <w:jc w:val="center"/>
              <w:rPr>
                <w:b/>
                <w:bCs/>
                <w:szCs w:val="18"/>
              </w:rPr>
            </w:pPr>
            <w:r w:rsidRPr="00A63EE0">
              <w:rPr>
                <w:b/>
                <w:bCs/>
                <w:szCs w:val="18"/>
              </w:rPr>
              <w:t xml:space="preserve">Jóice Cristina Horst </w:t>
            </w:r>
          </w:p>
          <w:p w14:paraId="16FF7BA4" w14:textId="77777777" w:rsidR="005713D5" w:rsidRPr="00A63EE0" w:rsidRDefault="005713D5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Secretária Municipal da Saúde e Assistência Social</w:t>
            </w:r>
          </w:p>
        </w:tc>
      </w:tr>
    </w:tbl>
    <w:p w14:paraId="69FCD334" w14:textId="3202368B" w:rsidR="00CD7FEA" w:rsidRPr="008D164E" w:rsidRDefault="00041E61" w:rsidP="00041E61">
      <w:pPr>
        <w:tabs>
          <w:tab w:val="left" w:pos="328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64D5D6A9" w14:textId="77777777" w:rsidR="00CD7FEA" w:rsidRDefault="00CD7FEA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CD7F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AF524" w14:textId="77777777" w:rsidR="00CD7FEA" w:rsidRDefault="006D7DF6">
      <w:r>
        <w:separator/>
      </w:r>
    </w:p>
  </w:endnote>
  <w:endnote w:type="continuationSeparator" w:id="0">
    <w:p w14:paraId="678A4301" w14:textId="77777777" w:rsidR="00CD7FEA" w:rsidRDefault="006D7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6B9A9179" w14:textId="77777777" w:rsidR="00CD7FEA" w:rsidRDefault="006D7DF6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3CBCE30" w14:textId="77777777" w:rsidR="00CD7FEA" w:rsidRDefault="00CD7FEA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A534187" w14:textId="77777777" w:rsidR="00CD7FEA" w:rsidRDefault="006D7DF6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07059051" w14:textId="77777777" w:rsidR="00CD7FEA" w:rsidRDefault="00CD7FE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8EAEE" w14:textId="77777777" w:rsidR="00CD7FEA" w:rsidRDefault="006D7DF6">
      <w:pPr>
        <w:spacing w:after="0"/>
      </w:pPr>
      <w:r>
        <w:separator/>
      </w:r>
    </w:p>
  </w:footnote>
  <w:footnote w:type="continuationSeparator" w:id="0">
    <w:p w14:paraId="723AE391" w14:textId="77777777" w:rsidR="00CD7FEA" w:rsidRDefault="006D7D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ED04" w14:textId="77777777" w:rsidR="00CD7FEA" w:rsidRDefault="00CD7FEA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CD7FEA" w14:paraId="41F5BF24" w14:textId="77777777">
      <w:trPr>
        <w:trHeight w:val="930"/>
      </w:trPr>
      <w:tc>
        <w:tcPr>
          <w:tcW w:w="1838" w:type="dxa"/>
          <w:vAlign w:val="center"/>
        </w:tcPr>
        <w:p w14:paraId="52857EBB" w14:textId="77777777" w:rsidR="00CD7FEA" w:rsidRDefault="006D7D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5BFBEA40" wp14:editId="6A5670C4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665BA253" w14:textId="77777777" w:rsidR="00CD7FEA" w:rsidRDefault="006D7DF6">
          <w:pPr>
            <w:pStyle w:val="Cabealho"/>
            <w:ind w:firstLine="0"/>
          </w:pPr>
          <w:r>
            <w:t>ESTADO DO RIO GRANDE DO SUL</w:t>
          </w:r>
        </w:p>
        <w:p w14:paraId="646F348C" w14:textId="77777777" w:rsidR="00CD7FEA" w:rsidRDefault="006D7DF6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193FDC5E" w14:textId="77777777" w:rsidR="00CD7FEA" w:rsidRDefault="00CD7FEA">
          <w:pPr>
            <w:pStyle w:val="Cabealho"/>
            <w:ind w:firstLine="0"/>
            <w:jc w:val="center"/>
          </w:pPr>
        </w:p>
      </w:tc>
    </w:tr>
  </w:tbl>
  <w:p w14:paraId="0BB29C60" w14:textId="77777777" w:rsidR="00CD7FEA" w:rsidRDefault="00CD7FEA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D83B" w14:textId="77777777" w:rsidR="00CD7FEA" w:rsidRDefault="00CD7FEA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CD7FEA" w14:paraId="7A738B13" w14:textId="77777777">
      <w:trPr>
        <w:trHeight w:val="930"/>
      </w:trPr>
      <w:tc>
        <w:tcPr>
          <w:tcW w:w="1838" w:type="dxa"/>
          <w:vAlign w:val="center"/>
        </w:tcPr>
        <w:p w14:paraId="1F78108C" w14:textId="77777777" w:rsidR="00CD7FEA" w:rsidRDefault="006D7D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130EF0A" wp14:editId="1D4F1253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5C1F9EC7" w14:textId="77777777" w:rsidR="00CD7FEA" w:rsidRDefault="006D7DF6">
          <w:pPr>
            <w:pStyle w:val="Cabealho"/>
            <w:ind w:firstLine="0"/>
          </w:pPr>
          <w:r>
            <w:t>ESTADO DO RIO GRANDE DO SUL</w:t>
          </w:r>
        </w:p>
        <w:p w14:paraId="441B22EA" w14:textId="77777777" w:rsidR="00CD7FEA" w:rsidRDefault="006D7DF6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6017570E" w14:textId="77777777" w:rsidR="00CD7FEA" w:rsidRDefault="00CD7FEA">
          <w:pPr>
            <w:pStyle w:val="Cabealho"/>
            <w:ind w:firstLine="0"/>
            <w:jc w:val="center"/>
          </w:pPr>
        </w:p>
      </w:tc>
    </w:tr>
  </w:tbl>
  <w:p w14:paraId="3DAB53AF" w14:textId="77777777" w:rsidR="00CD7FEA" w:rsidRDefault="00CD7FE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pStyle w:val="EmentaLicitao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727848468">
    <w:abstractNumId w:val="1"/>
  </w:num>
  <w:num w:numId="2" w16cid:durableId="1445929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1E61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107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3093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3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4CC0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7656F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7F4"/>
    <w:rsid w:val="006D1BBD"/>
    <w:rsid w:val="006D467C"/>
    <w:rsid w:val="006D5EFE"/>
    <w:rsid w:val="006D714F"/>
    <w:rsid w:val="006D7B63"/>
    <w:rsid w:val="006D7DF6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A25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64E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45B27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02C7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6A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31D2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27C5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8ED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4B5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D7FEA"/>
    <w:rsid w:val="00CE1525"/>
    <w:rsid w:val="00CE1A10"/>
    <w:rsid w:val="00CE1B11"/>
    <w:rsid w:val="00CE22EC"/>
    <w:rsid w:val="00CE28F9"/>
    <w:rsid w:val="00CE2D51"/>
    <w:rsid w:val="00CE5C0B"/>
    <w:rsid w:val="00CE7D1E"/>
    <w:rsid w:val="00CF1756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1D3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F3C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09CC"/>
    <w:rsid w:val="00FC38EF"/>
    <w:rsid w:val="00FC4622"/>
    <w:rsid w:val="00FC5E10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  <w:rsid w:val="43B6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710A"/>
  <w15:docId w15:val="{C30F6DF4-5201-42BA-A072-8689E4FD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autoRedefine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pPr>
      <w:numPr>
        <w:numId w:val="2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customStyle="1" w:styleId="Reviso1">
    <w:name w:val="Revisão1"/>
    <w:hidden/>
    <w:uiPriority w:val="99"/>
    <w:semiHidden/>
    <w:rPr>
      <w:rFonts w:ascii="Tahoma" w:hAnsi="Tahoma"/>
      <w:sz w:val="18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character" w:customStyle="1" w:styleId="Fontepargpadro5">
    <w:name w:val="Fonte parág. padrão5"/>
    <w:rsid w:val="00041E61"/>
  </w:style>
  <w:style w:type="table" w:customStyle="1" w:styleId="Tabelacomgrade1">
    <w:name w:val="Tabela com grade1"/>
    <w:basedOn w:val="Tabelanormal"/>
    <w:next w:val="Tabelacomgrade"/>
    <w:rsid w:val="005713D5"/>
    <w:pPr>
      <w:suppressAutoHyphens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1194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6</cp:revision>
  <cp:lastPrinted>2025-03-11T12:23:00Z</cp:lastPrinted>
  <dcterms:created xsi:type="dcterms:W3CDTF">2025-03-14T11:56:00Z</dcterms:created>
  <dcterms:modified xsi:type="dcterms:W3CDTF">2025-04-10T16:53:00Z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1046-12.2.0.18283</vt:lpwstr>
  </property>
  <property fmtid="{D5CDD505-2E9C-101B-9397-08002B2CF9AE}" pid="3" name="ICV">
    <vt:lpwstr>47CE254FF29A413EA2346159BDE1520B_13</vt:lpwstr>
  </property>
</Properties>
</file>