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973BE2">
        <w:tc>
          <w:tcPr>
            <w:tcW w:w="4390" w:type="dxa"/>
            <w:shd w:val="clear" w:color="auto" w:fill="auto"/>
            <w:vAlign w:val="center"/>
          </w:tcPr>
          <w:p w14:paraId="54FE27B0" w14:textId="27AA711F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535D8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45B30FE0" w14:textId="0E9AE675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shd w:val="clear" w:color="auto" w:fill="auto"/>
            <w:vAlign w:val="center"/>
          </w:tcPr>
          <w:p w14:paraId="34AC728E" w14:textId="6EBA0B3E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3DBCCB84" w14:textId="40D7A2BE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5BFF9FD5" w:rsidR="00A50BFC" w:rsidRPr="00770FD9" w:rsidRDefault="00FB63CF" w:rsidP="00415236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70FD9">
              <w:rPr>
                <w:rFonts w:cs="Tahoma"/>
                <w:sz w:val="16"/>
                <w:szCs w:val="16"/>
              </w:rPr>
              <w:t>Constitui objeto d</w:t>
            </w:r>
            <w:r w:rsidR="004B6E4B" w:rsidRPr="00770FD9">
              <w:rPr>
                <w:rFonts w:cs="Tahoma"/>
                <w:sz w:val="16"/>
                <w:szCs w:val="16"/>
              </w:rPr>
              <w:t>a</w:t>
            </w:r>
            <w:r w:rsidRPr="00770FD9">
              <w:rPr>
                <w:rFonts w:cs="Tahoma"/>
                <w:sz w:val="16"/>
                <w:szCs w:val="16"/>
              </w:rPr>
              <w:t xml:space="preserve"> presente</w:t>
            </w:r>
            <w:r w:rsidR="004B6E4B" w:rsidRPr="00770FD9">
              <w:rPr>
                <w:rFonts w:cs="Tahoma"/>
                <w:sz w:val="16"/>
                <w:szCs w:val="16"/>
              </w:rPr>
              <w:t xml:space="preserve"> pesquisa de preço</w:t>
            </w:r>
            <w:r w:rsidRPr="00770FD9">
              <w:rPr>
                <w:rFonts w:cs="Tahoma"/>
                <w:sz w:val="16"/>
                <w:szCs w:val="16"/>
              </w:rPr>
              <w:t xml:space="preserve"> a aquisição de gêneros alimentícios </w:t>
            </w:r>
            <w:r w:rsidR="004B6E4B" w:rsidRPr="00770FD9">
              <w:rPr>
                <w:rFonts w:cs="Tahoma"/>
                <w:sz w:val="16"/>
                <w:szCs w:val="16"/>
              </w:rPr>
              <w:t>para a alimentação escolar que atenderá os alunos da rede municipal de ensino</w:t>
            </w:r>
            <w:r w:rsidR="00415236" w:rsidRPr="00770FD9">
              <w:rPr>
                <w:rFonts w:cs="Tahoma"/>
                <w:sz w:val="16"/>
                <w:szCs w:val="16"/>
              </w:rPr>
              <w:t xml:space="preserve"> (EMEF e EMEI)</w:t>
            </w:r>
            <w:r w:rsidR="00770FD9">
              <w:rPr>
                <w:rFonts w:cs="Tahoma"/>
                <w:sz w:val="16"/>
                <w:szCs w:val="16"/>
              </w:rPr>
              <w:t>, por meio da Agricultura Familiar, n</w:t>
            </w:r>
            <w:r w:rsidR="00415236" w:rsidRPr="00770FD9">
              <w:rPr>
                <w:rFonts w:cs="Tahoma"/>
                <w:sz w:val="16"/>
                <w:szCs w:val="16"/>
              </w:rPr>
              <w:t xml:space="preserve">o descritivo </w:t>
            </w:r>
            <w:r w:rsidR="00770FD9" w:rsidRPr="00770FD9">
              <w:rPr>
                <w:rFonts w:cs="Tahoma"/>
                <w:sz w:val="16"/>
                <w:szCs w:val="16"/>
              </w:rPr>
              <w:t>contém</w:t>
            </w:r>
            <w:r w:rsidR="00415236" w:rsidRPr="00770FD9">
              <w:rPr>
                <w:rFonts w:cs="Tahoma"/>
                <w:sz w:val="16"/>
                <w:szCs w:val="16"/>
              </w:rPr>
              <w:t xml:space="preserve"> as quantidades estimadas que poderão ser utilizadas no período de </w:t>
            </w:r>
            <w:r w:rsidR="00DA3090" w:rsidRPr="00770FD9">
              <w:rPr>
                <w:rFonts w:cs="Tahoma"/>
                <w:sz w:val="16"/>
                <w:szCs w:val="16"/>
              </w:rPr>
              <w:t>20</w:t>
            </w:r>
            <w:r w:rsidR="00415236" w:rsidRPr="00770FD9">
              <w:rPr>
                <w:rFonts w:cs="Tahoma"/>
                <w:sz w:val="16"/>
                <w:szCs w:val="16"/>
              </w:rPr>
              <w:t>.0</w:t>
            </w:r>
            <w:r w:rsidR="0060038C" w:rsidRPr="00770FD9">
              <w:rPr>
                <w:rFonts w:cs="Tahoma"/>
                <w:sz w:val="16"/>
                <w:szCs w:val="16"/>
              </w:rPr>
              <w:t>1</w:t>
            </w:r>
            <w:r w:rsidR="00415236" w:rsidRPr="00770FD9">
              <w:rPr>
                <w:rFonts w:cs="Tahoma"/>
                <w:sz w:val="16"/>
                <w:szCs w:val="16"/>
              </w:rPr>
              <w:t>.2</w:t>
            </w:r>
            <w:r w:rsidR="0060038C" w:rsidRPr="00770FD9">
              <w:rPr>
                <w:rFonts w:cs="Tahoma"/>
                <w:sz w:val="16"/>
                <w:szCs w:val="16"/>
              </w:rPr>
              <w:t>5</w:t>
            </w:r>
            <w:r w:rsidR="00415236" w:rsidRPr="00770FD9">
              <w:rPr>
                <w:rFonts w:cs="Tahoma"/>
                <w:sz w:val="16"/>
                <w:szCs w:val="16"/>
              </w:rPr>
              <w:t xml:space="preserve"> a 3</w:t>
            </w:r>
            <w:r w:rsidR="0060038C" w:rsidRPr="00770FD9">
              <w:rPr>
                <w:rFonts w:cs="Tahoma"/>
                <w:sz w:val="16"/>
                <w:szCs w:val="16"/>
              </w:rPr>
              <w:t>0</w:t>
            </w:r>
            <w:r w:rsidR="00415236" w:rsidRPr="00770FD9">
              <w:rPr>
                <w:rFonts w:cs="Tahoma"/>
                <w:sz w:val="16"/>
                <w:szCs w:val="16"/>
              </w:rPr>
              <w:t>.</w:t>
            </w:r>
            <w:r w:rsidR="0060038C" w:rsidRPr="00770FD9">
              <w:rPr>
                <w:rFonts w:cs="Tahoma"/>
                <w:sz w:val="16"/>
                <w:szCs w:val="16"/>
              </w:rPr>
              <w:t>06</w:t>
            </w:r>
            <w:r w:rsidR="00415236" w:rsidRPr="00770FD9">
              <w:rPr>
                <w:rFonts w:cs="Tahoma"/>
                <w:sz w:val="16"/>
                <w:szCs w:val="16"/>
              </w:rPr>
              <w:t>.202</w:t>
            </w:r>
            <w:r w:rsidR="0060038C" w:rsidRPr="00770FD9">
              <w:rPr>
                <w:rFonts w:cs="Tahoma"/>
                <w:sz w:val="16"/>
                <w:szCs w:val="16"/>
              </w:rPr>
              <w:t>5</w:t>
            </w:r>
            <w:r w:rsidR="00415236" w:rsidRPr="00770FD9">
              <w:rPr>
                <w:rFonts w:cs="Tahoma"/>
                <w:sz w:val="16"/>
                <w:szCs w:val="16"/>
              </w:rPr>
              <w:t xml:space="preserve">. 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3678C92C" w:rsidR="00BC429E" w:rsidRDefault="00BC429E" w:rsidP="00AB1171">
      <w:pPr>
        <w:pStyle w:val="Ttulo2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3CD7B54D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4789B">
              <w:rPr>
                <w:sz w:val="16"/>
                <w:szCs w:val="16"/>
              </w:rPr>
              <w:t>X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12651C8" w14:textId="77777777" w:rsidR="00973BE2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973BE2">
              <w:rPr>
                <w:sz w:val="16"/>
                <w:szCs w:val="16"/>
              </w:rPr>
              <w:t>.</w:t>
            </w:r>
          </w:p>
          <w:p w14:paraId="61A657E6" w14:textId="44020AEA" w:rsidR="00FF6088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>
              <w:rPr>
                <w:sz w:val="16"/>
                <w:szCs w:val="16"/>
                <w:highlight w:val="yellow"/>
              </w:rPr>
              <w:t>: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B71A622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4789B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>
              <w:rPr>
                <w:sz w:val="16"/>
                <w:szCs w:val="16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458D4E6" w14:textId="77777777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>
              <w:rPr>
                <w:sz w:val="16"/>
                <w:szCs w:val="16"/>
              </w:rPr>
              <w:t>.</w:t>
            </w:r>
          </w:p>
          <w:p w14:paraId="76BEDC04" w14:textId="6B07F6BC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AA9955" w14:textId="77777777" w:rsidR="008455C1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>, caso o fornecedor não tenha comercializado o objeto anteriormente</w:t>
            </w:r>
            <w:r w:rsidR="00973BE2">
              <w:rPr>
                <w:sz w:val="16"/>
                <w:szCs w:val="16"/>
              </w:rPr>
              <w:t>.</w:t>
            </w:r>
          </w:p>
          <w:p w14:paraId="38CBF58B" w14:textId="72B7821D" w:rsidR="00973BE2" w:rsidRPr="00E92143" w:rsidRDefault="00973BE2" w:rsidP="00016A1E">
            <w:pPr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770FD9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770FD9" w:rsidRPr="00E92143" w:rsidRDefault="00770FD9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770FD9" w:rsidRPr="00E92143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0AA1CF8F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Reunião e pesquisa de preço com produtores locais do Município de Imigrante/RS.</w:t>
            </w:r>
          </w:p>
        </w:tc>
      </w:tr>
      <w:tr w:rsidR="00770FD9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770FD9" w:rsidRPr="00E92143" w:rsidRDefault="00770FD9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770FD9" w:rsidRPr="00E92143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415A51D" w14:textId="7CCF7E4E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Pesquisa de preço na Feira do Produtor em Lajeado</w:t>
            </w:r>
          </w:p>
        </w:tc>
      </w:tr>
      <w:tr w:rsidR="00770FD9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770FD9" w:rsidRPr="00E92143" w:rsidRDefault="00770FD9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770FD9" w:rsidRPr="00E92143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8AFB0E1" w14:textId="44AD8FBE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Pesquisa de preço na Feira do Produto em Porto Alegre </w:t>
            </w:r>
          </w:p>
        </w:tc>
      </w:tr>
      <w:tr w:rsidR="00770FD9" w:rsidRPr="00E92143" w14:paraId="2C07A29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5475A67" w14:textId="77777777" w:rsidR="00770FD9" w:rsidRPr="00E92143" w:rsidRDefault="00770FD9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640598" w14:textId="17E21C65" w:rsidR="00770FD9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13792CD" w14:textId="7D9BAA88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Pesquisa de preço </w:t>
            </w:r>
            <w:proofErr w:type="spellStart"/>
            <w:r>
              <w:rPr>
                <w:sz w:val="16"/>
                <w:szCs w:val="16"/>
              </w:rPr>
              <w:t>AgroNatura</w:t>
            </w:r>
            <w:proofErr w:type="spellEnd"/>
            <w:r>
              <w:rPr>
                <w:sz w:val="16"/>
                <w:szCs w:val="16"/>
              </w:rPr>
              <w:t xml:space="preserve"> – Produtor Hans Albino Post</w:t>
            </w:r>
          </w:p>
        </w:tc>
      </w:tr>
      <w:tr w:rsidR="00770FD9" w:rsidRPr="00E92143" w14:paraId="0135C703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BF5EFDF" w14:textId="77777777" w:rsidR="00770FD9" w:rsidRPr="00E92143" w:rsidRDefault="00770FD9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01680" w14:textId="5868053D" w:rsidR="00770FD9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4F6C1A32" w14:textId="39AAC1E1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Pesquisa de preço Site oficial – Prefeitura Municipal de Boa Vista do Sul</w:t>
            </w:r>
          </w:p>
        </w:tc>
      </w:tr>
      <w:tr w:rsidR="00770FD9" w:rsidRPr="00E92143" w14:paraId="5C35C02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D219CF" w14:textId="77777777" w:rsidR="00770FD9" w:rsidRPr="00E92143" w:rsidRDefault="00770FD9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3513F6" w14:textId="1519462D" w:rsidR="00770FD9" w:rsidRDefault="00770FD9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254B7E37" w14:textId="02DFECBF" w:rsidR="00770FD9" w:rsidRPr="00E92143" w:rsidRDefault="00770FD9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Pesquisa de preço CEASA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Pr="002E6158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2E6158"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3415A3A3" w:rsidR="00A15C5F" w:rsidRPr="00770FD9" w:rsidRDefault="00116934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Primeiramente foi realizada a reunião com os produtores rurais no município de Imigrante e coletado o orçamento com este grupo de fornecedores. Foi realizado a pesquisa de preço em feiras de produtores em Lajeado e Porto Alegre. Alguns produtos utilizou-se o orçamento de sites oficiais que tinham o mesmo objeto e também utilizamos o preço que está sendo praticado no semestre vigente. </w:t>
            </w:r>
            <w:r w:rsidR="004B6E4B" w:rsidRPr="002E6158">
              <w:rPr>
                <w:sz w:val="16"/>
                <w:szCs w:val="16"/>
              </w:rPr>
              <w:t>Todos os valores utilizados são do ano de 2024.</w:t>
            </w:r>
          </w:p>
        </w:tc>
      </w:tr>
    </w:tbl>
    <w:p w14:paraId="5D69010A" w14:textId="5021779C" w:rsidR="00D63AF8" w:rsidRDefault="00572CB5" w:rsidP="00973BE2">
      <w:pPr>
        <w:pStyle w:val="Ttulo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770FD9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0E40F596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B63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770FD9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770FD9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4B8CEE7C" w:rsidR="00D63AF8" w:rsidRPr="00770FD9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272F05C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6D1A3961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B63C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770FD9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FB655D0" w:rsidR="00572CB5" w:rsidRPr="00770FD9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lastRenderedPageBreak/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5B234B13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4040E23" w:rsidR="00F21276" w:rsidRPr="00770FD9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770FD9">
              <w:rPr>
                <w:b/>
                <w:bCs/>
                <w:sz w:val="16"/>
                <w:szCs w:val="16"/>
              </w:rPr>
              <w:t xml:space="preserve">( </w:t>
            </w:r>
            <w:r w:rsidR="00770FD9" w:rsidRPr="00770FD9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770FD9">
              <w:rPr>
                <w:b/>
                <w:bCs/>
                <w:sz w:val="16"/>
                <w:szCs w:val="16"/>
              </w:rPr>
              <w:t xml:space="preserve"> ) 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5A9F46AE" w:rsidR="00F21276" w:rsidRPr="00770FD9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770FD9">
              <w:rPr>
                <w:b/>
                <w:bCs/>
                <w:sz w:val="16"/>
                <w:szCs w:val="16"/>
              </w:rPr>
              <w:t xml:space="preserve">( </w:t>
            </w:r>
            <w:r w:rsidR="00770FD9" w:rsidRPr="00770FD9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770FD9">
              <w:rPr>
                <w:b/>
                <w:bCs/>
                <w:sz w:val="16"/>
                <w:szCs w:val="16"/>
              </w:rPr>
              <w:t xml:space="preserve"> ) 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Pr="00C72C65" w:rsidRDefault="00F21276" w:rsidP="001E46CC">
            <w:pPr>
              <w:ind w:firstLine="0"/>
              <w:rPr>
                <w:sz w:val="16"/>
                <w:szCs w:val="16"/>
              </w:rPr>
            </w:pPr>
            <w:r w:rsidRPr="00C72C65">
              <w:rPr>
                <w:sz w:val="16"/>
                <w:szCs w:val="16"/>
              </w:rPr>
              <w:t>Justificativa para desconsideração dos preços:</w:t>
            </w:r>
          </w:p>
          <w:p w14:paraId="30FCC258" w14:textId="1958100B" w:rsidR="00F21276" w:rsidRPr="00E92143" w:rsidRDefault="002E6158" w:rsidP="00116934">
            <w:pPr>
              <w:ind w:firstLine="0"/>
              <w:rPr>
                <w:sz w:val="16"/>
                <w:szCs w:val="16"/>
              </w:rPr>
            </w:pPr>
            <w:r w:rsidRPr="00C72C65">
              <w:rPr>
                <w:sz w:val="16"/>
                <w:szCs w:val="16"/>
              </w:rPr>
              <w:t xml:space="preserve"> </w:t>
            </w:r>
            <w:r w:rsidR="00770FD9">
              <w:rPr>
                <w:sz w:val="16"/>
                <w:szCs w:val="16"/>
              </w:rPr>
              <w:t xml:space="preserve">Conforme planilha de valores anexa ao processo e a pesquisa de preços, foram desconsiderados valores inconsistentes que estavam muito baixos prejudicando a elaboração do valor de referência e podendo causar itens desertos, ou valores muito elevados, que também prejudicariam o processo. Dessa forma, foi sinalizado e legendando na planilha os itens com valores desconsiderados. </w:t>
            </w:r>
          </w:p>
        </w:tc>
      </w:tr>
    </w:tbl>
    <w:p w14:paraId="1B1F9A12" w14:textId="402E962C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2F5BD61" w:rsidR="009C210E" w:rsidRPr="00982F47" w:rsidRDefault="00973BE2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7CD8EA0A" w:rsidR="009C210E" w:rsidRPr="00E92143" w:rsidRDefault="00FB63CF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CELESTINA RODRIGUES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2EF67536" w:rsidR="00EC1F26" w:rsidRDefault="00EC1F26" w:rsidP="00EC1F26"/>
    <w:p w14:paraId="3E939E59" w14:textId="4C8B35C2" w:rsidR="00973BE2" w:rsidRDefault="00DF6032" w:rsidP="00EC1F26">
      <w:r>
        <w:t>Em anexo memória de cálculo e documentos/orçamentos que embasaram a pesquisa.</w:t>
      </w:r>
    </w:p>
    <w:p w14:paraId="139A38A2" w14:textId="1E7B5A92" w:rsidR="00DF6032" w:rsidRDefault="00DF6032" w:rsidP="00EC1F26"/>
    <w:p w14:paraId="7D4E63F5" w14:textId="77777777" w:rsidR="00DF6032" w:rsidRPr="00EC1F26" w:rsidRDefault="00DF6032" w:rsidP="00EC1F26"/>
    <w:p w14:paraId="020F279E" w14:textId="02F5CD7C" w:rsidR="00DD1CD6" w:rsidRDefault="002A092F" w:rsidP="00B70A10">
      <w:pPr>
        <w:jc w:val="right"/>
      </w:pPr>
      <w:r>
        <w:t xml:space="preserve">Imigrante, </w:t>
      </w:r>
      <w:r w:rsidR="00116934">
        <w:t xml:space="preserve">04 </w:t>
      </w:r>
      <w:r>
        <w:t>de</w:t>
      </w:r>
      <w:r w:rsidR="007535D8">
        <w:t xml:space="preserve"> </w:t>
      </w:r>
      <w:r w:rsidR="00116934">
        <w:t>dezembro</w:t>
      </w:r>
      <w:r w:rsidR="007535D8">
        <w:t xml:space="preserve"> </w:t>
      </w:r>
      <w:r>
        <w:t xml:space="preserve">de </w:t>
      </w:r>
      <w:r w:rsidR="00157256">
        <w:t>202</w:t>
      </w:r>
      <w:r w:rsidR="00FB63CF">
        <w:t>4</w:t>
      </w:r>
    </w:p>
    <w:p w14:paraId="6D1E25F6" w14:textId="20DFABAD" w:rsidR="00B70A10" w:rsidRDefault="00B70A10" w:rsidP="00B70A10">
      <w:pPr>
        <w:jc w:val="right"/>
      </w:pPr>
    </w:p>
    <w:p w14:paraId="3951D788" w14:textId="77777777" w:rsidR="00157256" w:rsidRDefault="00157256" w:rsidP="00770FD9">
      <w:pPr>
        <w:ind w:firstLine="0"/>
      </w:pPr>
    </w:p>
    <w:p w14:paraId="19C4CDD1" w14:textId="77777777" w:rsidR="00770FD9" w:rsidRDefault="00770FD9" w:rsidP="00770FD9">
      <w:pPr>
        <w:jc w:val="right"/>
      </w:pPr>
    </w:p>
    <w:p w14:paraId="2E1896AE" w14:textId="77777777" w:rsidR="00770FD9" w:rsidRDefault="00770FD9" w:rsidP="00770FD9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770FD9" w14:paraId="7F58DB51" w14:textId="77777777" w:rsidTr="009460F5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00595D31" w14:textId="77777777" w:rsidR="00770FD9" w:rsidRDefault="00770FD9" w:rsidP="009460F5">
            <w:pPr>
              <w:tabs>
                <w:tab w:val="left" w:pos="1935"/>
              </w:tabs>
              <w:ind w:left="-142" w:firstLine="0"/>
            </w:pPr>
          </w:p>
        </w:tc>
      </w:tr>
      <w:tr w:rsidR="00770FD9" w14:paraId="291F93BB" w14:textId="77777777" w:rsidTr="009460F5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2AD50" w14:textId="77777777" w:rsidR="00770FD9" w:rsidRPr="00FD56DE" w:rsidRDefault="00770FD9" w:rsidP="009460F5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770FD9" w14:paraId="4D80AD5B" w14:textId="77777777" w:rsidTr="009460F5">
        <w:tc>
          <w:tcPr>
            <w:tcW w:w="6204" w:type="dxa"/>
            <w:shd w:val="clear" w:color="auto" w:fill="auto"/>
            <w:vAlign w:val="center"/>
          </w:tcPr>
          <w:p w14:paraId="3B733338" w14:textId="77777777" w:rsidR="00770FD9" w:rsidRDefault="00770FD9" w:rsidP="009460F5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Educação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E236B" w14:textId="77777777" w:rsidR="00B057A6" w:rsidRDefault="00B057A6" w:rsidP="009F2D5E">
      <w:pPr>
        <w:spacing w:after="0"/>
      </w:pPr>
      <w:r>
        <w:separator/>
      </w:r>
    </w:p>
  </w:endnote>
  <w:endnote w:type="continuationSeparator" w:id="0">
    <w:p w14:paraId="2D808B83" w14:textId="77777777" w:rsidR="00B057A6" w:rsidRDefault="00B057A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FFDA5" w14:textId="77777777" w:rsidR="00B057A6" w:rsidRDefault="00B057A6" w:rsidP="009F2D5E">
      <w:pPr>
        <w:spacing w:after="0"/>
      </w:pPr>
      <w:r>
        <w:separator/>
      </w:r>
    </w:p>
  </w:footnote>
  <w:footnote w:type="continuationSeparator" w:id="0">
    <w:p w14:paraId="0699F14A" w14:textId="77777777" w:rsidR="00B057A6" w:rsidRDefault="00B057A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30974653">
    <w:abstractNumId w:val="8"/>
  </w:num>
  <w:num w:numId="2" w16cid:durableId="1588076512">
    <w:abstractNumId w:val="10"/>
  </w:num>
  <w:num w:numId="3" w16cid:durableId="1820924901">
    <w:abstractNumId w:val="9"/>
  </w:num>
  <w:num w:numId="4" w16cid:durableId="1428842973">
    <w:abstractNumId w:val="3"/>
  </w:num>
  <w:num w:numId="5" w16cid:durableId="566691550">
    <w:abstractNumId w:val="1"/>
  </w:num>
  <w:num w:numId="6" w16cid:durableId="1150442412">
    <w:abstractNumId w:val="14"/>
  </w:num>
  <w:num w:numId="7" w16cid:durableId="2011175673">
    <w:abstractNumId w:val="18"/>
  </w:num>
  <w:num w:numId="8" w16cid:durableId="553004038">
    <w:abstractNumId w:val="15"/>
  </w:num>
  <w:num w:numId="9" w16cid:durableId="1409226558">
    <w:abstractNumId w:val="19"/>
  </w:num>
  <w:num w:numId="10" w16cid:durableId="1085347957">
    <w:abstractNumId w:val="12"/>
  </w:num>
  <w:num w:numId="11" w16cid:durableId="1220899952">
    <w:abstractNumId w:val="17"/>
  </w:num>
  <w:num w:numId="12" w16cid:durableId="1076703860">
    <w:abstractNumId w:val="6"/>
  </w:num>
  <w:num w:numId="13" w16cid:durableId="1797217537">
    <w:abstractNumId w:val="4"/>
  </w:num>
  <w:num w:numId="14" w16cid:durableId="472218217">
    <w:abstractNumId w:val="16"/>
  </w:num>
  <w:num w:numId="15" w16cid:durableId="1411854436">
    <w:abstractNumId w:val="13"/>
  </w:num>
  <w:num w:numId="16" w16cid:durableId="557401748">
    <w:abstractNumId w:val="5"/>
  </w:num>
  <w:num w:numId="17" w16cid:durableId="875968770">
    <w:abstractNumId w:val="7"/>
  </w:num>
  <w:num w:numId="18" w16cid:durableId="1563909174">
    <w:abstractNumId w:val="11"/>
  </w:num>
  <w:num w:numId="19" w16cid:durableId="306280461">
    <w:abstractNumId w:val="2"/>
  </w:num>
  <w:num w:numId="20" w16cid:durableId="1883252640">
    <w:abstractNumId w:val="0"/>
  </w:num>
  <w:num w:numId="21" w16cid:durableId="813988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8044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3658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40206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73675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35559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36773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74542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56336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3398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598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87158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413962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88F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97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34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470E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C3D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6158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179E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236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6E4B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038C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35D8"/>
    <w:rsid w:val="007551DA"/>
    <w:rsid w:val="0075526F"/>
    <w:rsid w:val="00755400"/>
    <w:rsid w:val="00760AAF"/>
    <w:rsid w:val="00760B68"/>
    <w:rsid w:val="00763737"/>
    <w:rsid w:val="00763742"/>
    <w:rsid w:val="00765B88"/>
    <w:rsid w:val="00765CFC"/>
    <w:rsid w:val="00767193"/>
    <w:rsid w:val="007679F9"/>
    <w:rsid w:val="0077017B"/>
    <w:rsid w:val="007706A4"/>
    <w:rsid w:val="00770FD9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0250"/>
    <w:rsid w:val="009530DA"/>
    <w:rsid w:val="00954363"/>
    <w:rsid w:val="00954A82"/>
    <w:rsid w:val="00954C83"/>
    <w:rsid w:val="00955A25"/>
    <w:rsid w:val="009610B5"/>
    <w:rsid w:val="009633AE"/>
    <w:rsid w:val="0096612E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656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7A6"/>
    <w:rsid w:val="00B05BAF"/>
    <w:rsid w:val="00B0604A"/>
    <w:rsid w:val="00B064CB"/>
    <w:rsid w:val="00B172D7"/>
    <w:rsid w:val="00B17901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2F1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89B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2C65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090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29F6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1F1E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A7B"/>
    <w:rsid w:val="00FB2F61"/>
    <w:rsid w:val="00FB513F"/>
    <w:rsid w:val="00FB5ACC"/>
    <w:rsid w:val="00FB6255"/>
    <w:rsid w:val="00FB63CF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518D-CE80-451C-8588-E79670FD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878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2024-12-04T18:29:00Z</cp:lastPrinted>
  <dcterms:created xsi:type="dcterms:W3CDTF">2024-12-04T17:31:00Z</dcterms:created>
  <dcterms:modified xsi:type="dcterms:W3CDTF">2024-12-16T17:14:00Z</dcterms:modified>
</cp:coreProperties>
</file>